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3F" w:rsidRDefault="00DA623F" w:rsidP="00DA623F">
      <w:pPr>
        <w:jc w:val="right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20"/>
        <w:gridCol w:w="3020"/>
        <w:gridCol w:w="3282"/>
      </w:tblGrid>
      <w:tr w:rsidR="00DA623F" w:rsidRPr="006F274A" w:rsidTr="00960691">
        <w:tc>
          <w:tcPr>
            <w:tcW w:w="3020" w:type="dxa"/>
            <w:hideMark/>
          </w:tcPr>
          <w:p w:rsidR="00DA623F" w:rsidRPr="006F274A" w:rsidRDefault="00DA623F" w:rsidP="000E1809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 w:rsidRPr="006F2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201</w:t>
            </w:r>
            <w:r w:rsidR="000E1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8</w:t>
            </w:r>
            <w:r w:rsidRPr="006F2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__.</w:t>
            </w:r>
            <w:r w:rsidR="000E1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februārī</w:t>
            </w:r>
          </w:p>
        </w:tc>
        <w:tc>
          <w:tcPr>
            <w:tcW w:w="3020" w:type="dxa"/>
            <w:hideMark/>
          </w:tcPr>
          <w:p w:rsidR="00DA623F" w:rsidRPr="006F274A" w:rsidRDefault="00DA623F" w:rsidP="00960691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ar-SA"/>
              </w:rPr>
            </w:pPr>
            <w:r w:rsidRPr="006F2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ar-SA"/>
              </w:rPr>
              <w:t>SAISTOŠIE NOTEIKUMI</w:t>
            </w:r>
          </w:p>
          <w:p w:rsidR="00DA623F" w:rsidRPr="006F274A" w:rsidRDefault="00DA623F" w:rsidP="00960691">
            <w:p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57" w:right="-23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 w:rsidRPr="006F2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Saulkrastos</w:t>
            </w:r>
          </w:p>
        </w:tc>
        <w:tc>
          <w:tcPr>
            <w:tcW w:w="3282" w:type="dxa"/>
            <w:hideMark/>
          </w:tcPr>
          <w:p w:rsidR="00DA623F" w:rsidRPr="006F274A" w:rsidRDefault="00DA623F" w:rsidP="00960691">
            <w:pPr>
              <w:tabs>
                <w:tab w:val="left" w:pos="851"/>
              </w:tabs>
              <w:spacing w:after="0" w:line="240" w:lineRule="auto"/>
              <w:ind w:left="426" w:right="2" w:hanging="3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Nr. SN__/201</w:t>
            </w:r>
            <w:r w:rsidR="000E1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ar-SA"/>
              </w:rPr>
              <w:t>8</w:t>
            </w:r>
          </w:p>
        </w:tc>
      </w:tr>
    </w:tbl>
    <w:p w:rsidR="00DA623F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6F274A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6F274A">
        <w:rPr>
          <w:rFonts w:ascii="Times New Roman" w:eastAsia="Calibri" w:hAnsi="Times New Roman" w:cs="Times New Roman"/>
          <w:i/>
          <w:iCs/>
          <w:sz w:val="24"/>
        </w:rPr>
        <w:t>APSTIPRINĀTI</w:t>
      </w:r>
    </w:p>
    <w:p w:rsidR="00DA623F" w:rsidRPr="006F274A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6F274A">
        <w:rPr>
          <w:rFonts w:ascii="Times New Roman" w:eastAsia="Calibri" w:hAnsi="Times New Roman" w:cs="Times New Roman"/>
          <w:i/>
          <w:iCs/>
          <w:sz w:val="24"/>
        </w:rPr>
        <w:t>ar Saulkrastu novada domes</w:t>
      </w:r>
    </w:p>
    <w:p w:rsidR="00DA623F" w:rsidRPr="006F274A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6F274A">
        <w:rPr>
          <w:rFonts w:ascii="Times New Roman" w:eastAsia="Calibri" w:hAnsi="Times New Roman" w:cs="Times New Roman"/>
          <w:i/>
          <w:iCs/>
          <w:sz w:val="24"/>
        </w:rPr>
        <w:t>201</w:t>
      </w:r>
      <w:r w:rsidR="000E1809">
        <w:rPr>
          <w:rFonts w:ascii="Times New Roman" w:eastAsia="Calibri" w:hAnsi="Times New Roman" w:cs="Times New Roman"/>
          <w:i/>
          <w:iCs/>
          <w:sz w:val="24"/>
        </w:rPr>
        <w:t>8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 xml:space="preserve">.gada </w:t>
      </w:r>
      <w:r>
        <w:rPr>
          <w:rFonts w:ascii="Times New Roman" w:eastAsia="Calibri" w:hAnsi="Times New Roman" w:cs="Times New Roman"/>
          <w:i/>
          <w:iCs/>
          <w:sz w:val="24"/>
        </w:rPr>
        <w:t>__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>.</w:t>
      </w:r>
      <w:r w:rsidR="000E1809">
        <w:rPr>
          <w:rFonts w:ascii="Times New Roman" w:eastAsia="Calibri" w:hAnsi="Times New Roman" w:cs="Times New Roman"/>
          <w:i/>
          <w:iCs/>
          <w:sz w:val="24"/>
        </w:rPr>
        <w:t>februāra</w:t>
      </w:r>
      <w:r w:rsidR="000E1809" w:rsidRPr="006F274A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>lēmumu</w:t>
      </w:r>
    </w:p>
    <w:p w:rsidR="00DA623F" w:rsidRPr="006F274A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6F274A">
        <w:rPr>
          <w:rFonts w:ascii="Times New Roman" w:eastAsia="Calibri" w:hAnsi="Times New Roman" w:cs="Times New Roman"/>
          <w:i/>
          <w:iCs/>
          <w:sz w:val="24"/>
        </w:rPr>
        <w:t>(prot. Nr.</w:t>
      </w:r>
      <w:r>
        <w:rPr>
          <w:rFonts w:ascii="Times New Roman" w:eastAsia="Calibri" w:hAnsi="Times New Roman" w:cs="Times New Roman"/>
          <w:i/>
          <w:iCs/>
          <w:sz w:val="24"/>
        </w:rPr>
        <w:t>__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>/201</w:t>
      </w:r>
      <w:r w:rsidR="000E1809">
        <w:rPr>
          <w:rFonts w:ascii="Times New Roman" w:eastAsia="Calibri" w:hAnsi="Times New Roman" w:cs="Times New Roman"/>
          <w:i/>
          <w:iCs/>
          <w:sz w:val="24"/>
        </w:rPr>
        <w:t>8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>§</w:t>
      </w:r>
      <w:r>
        <w:rPr>
          <w:rFonts w:ascii="Times New Roman" w:eastAsia="Calibri" w:hAnsi="Times New Roman" w:cs="Times New Roman"/>
          <w:i/>
          <w:iCs/>
          <w:sz w:val="24"/>
        </w:rPr>
        <w:t>__</w:t>
      </w:r>
      <w:r w:rsidRPr="006F274A">
        <w:rPr>
          <w:rFonts w:ascii="Times New Roman" w:eastAsia="Calibri" w:hAnsi="Times New Roman" w:cs="Times New Roman"/>
          <w:i/>
          <w:iCs/>
          <w:sz w:val="24"/>
        </w:rPr>
        <w:t>)</w:t>
      </w:r>
    </w:p>
    <w:p w:rsidR="00DA623F" w:rsidRPr="006F274A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E318C5" w:rsidRDefault="00DA623F" w:rsidP="00DA6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41AC4">
        <w:rPr>
          <w:rFonts w:ascii="Times New Roman" w:eastAsia="Calibri" w:hAnsi="Times New Roman" w:cs="Times New Roman"/>
          <w:b/>
          <w:bCs/>
          <w:sz w:val="24"/>
        </w:rPr>
        <w:t>Grozījum</w:t>
      </w:r>
      <w:r w:rsidR="005D1157">
        <w:rPr>
          <w:rFonts w:ascii="Times New Roman" w:eastAsia="Calibri" w:hAnsi="Times New Roman" w:cs="Times New Roman"/>
          <w:b/>
          <w:bCs/>
          <w:sz w:val="24"/>
        </w:rPr>
        <w:t>i</w:t>
      </w:r>
      <w:r w:rsidRPr="00041AC4">
        <w:rPr>
          <w:rFonts w:ascii="Times New Roman" w:eastAsia="Calibri" w:hAnsi="Times New Roman" w:cs="Times New Roman"/>
          <w:b/>
          <w:bCs/>
          <w:sz w:val="24"/>
        </w:rPr>
        <w:t xml:space="preserve"> Saulkrastu novada domes </w:t>
      </w:r>
      <w:proofErr w:type="gramStart"/>
      <w:r w:rsidRPr="00041AC4">
        <w:rPr>
          <w:rFonts w:ascii="Times New Roman" w:eastAsia="Calibri" w:hAnsi="Times New Roman" w:cs="Times New Roman"/>
          <w:b/>
          <w:bCs/>
          <w:sz w:val="24"/>
        </w:rPr>
        <w:t>2017.gada</w:t>
      </w:r>
      <w:proofErr w:type="gramEnd"/>
      <w:r w:rsidRPr="00041AC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41AC4" w:rsidRPr="00041AC4">
        <w:rPr>
          <w:rFonts w:ascii="Times New Roman" w:eastAsia="Calibri" w:hAnsi="Times New Roman" w:cs="Times New Roman"/>
          <w:b/>
          <w:bCs/>
          <w:sz w:val="24"/>
        </w:rPr>
        <w:t>30.augusta saistošajos noteikumos Nr. SN 14 /2017 “</w:t>
      </w:r>
      <w:hyperlink r:id="rId5" w:tgtFrame="_blank" w:history="1">
        <w:r w:rsidRPr="00E318C5">
          <w:rPr>
            <w:rFonts w:ascii="Times New Roman" w:eastAsia="Calibri" w:hAnsi="Times New Roman" w:cs="Times New Roman"/>
            <w:b/>
            <w:sz w:val="24"/>
          </w:rPr>
          <w:t>Par nekustamā īpašuma nodokli</w:t>
        </w:r>
      </w:hyperlink>
      <w:r w:rsidRPr="00E318C5">
        <w:rPr>
          <w:rFonts w:ascii="Times New Roman" w:eastAsia="Calibri" w:hAnsi="Times New Roman" w:cs="Times New Roman"/>
          <w:b/>
          <w:bCs/>
          <w:sz w:val="24"/>
        </w:rPr>
        <w:t xml:space="preserve"> un nekustamā īpašuma nodokļa atvieglojumu piemērošanu Saulkrastu novadā</w:t>
      </w:r>
      <w:r w:rsidR="00041AC4">
        <w:rPr>
          <w:rFonts w:ascii="Times New Roman" w:eastAsia="Calibri" w:hAnsi="Times New Roman" w:cs="Times New Roman"/>
          <w:b/>
          <w:bCs/>
          <w:sz w:val="24"/>
        </w:rPr>
        <w:t>”</w:t>
      </w: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E318C5">
        <w:rPr>
          <w:rFonts w:ascii="Times New Roman" w:eastAsia="Calibri" w:hAnsi="Times New Roman" w:cs="Times New Roman"/>
          <w:i/>
          <w:iCs/>
          <w:sz w:val="24"/>
        </w:rPr>
        <w:t>Izdoti saskaņā ar likuma “Par nekustamā īpašuma nodokli”</w:t>
      </w: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E318C5">
        <w:rPr>
          <w:rFonts w:ascii="Times New Roman" w:eastAsia="Calibri" w:hAnsi="Times New Roman" w:cs="Times New Roman"/>
          <w:i/>
          <w:iCs/>
          <w:sz w:val="24"/>
        </w:rPr>
        <w:t>1.panta otrās daļas 9.</w:t>
      </w:r>
      <w:r w:rsidRPr="00E318C5">
        <w:rPr>
          <w:rFonts w:ascii="Times New Roman" w:eastAsia="Calibri" w:hAnsi="Times New Roman" w:cs="Times New Roman"/>
          <w:i/>
          <w:iCs/>
          <w:sz w:val="24"/>
          <w:vertAlign w:val="superscript"/>
        </w:rPr>
        <w:t>1</w:t>
      </w:r>
      <w:r w:rsidRPr="00E318C5">
        <w:rPr>
          <w:rFonts w:ascii="Times New Roman" w:eastAsia="Calibri" w:hAnsi="Times New Roman" w:cs="Times New Roman"/>
          <w:i/>
          <w:iCs/>
          <w:sz w:val="24"/>
        </w:rPr>
        <w:t>punktu, 3.panta</w:t>
      </w:r>
      <w:r w:rsidRPr="00E318C5">
        <w:rPr>
          <w:rFonts w:ascii="Times New Roman" w:eastAsia="Calibri" w:hAnsi="Times New Roman" w:cs="Times New Roman"/>
          <w:i/>
          <w:iCs/>
          <w:color w:val="0563C1"/>
          <w:sz w:val="24"/>
        </w:rPr>
        <w:t xml:space="preserve"> </w:t>
      </w:r>
      <w:r w:rsidRPr="00E318C5">
        <w:rPr>
          <w:rFonts w:ascii="Times New Roman" w:eastAsia="Calibri" w:hAnsi="Times New Roman" w:cs="Times New Roman"/>
          <w:i/>
          <w:iCs/>
          <w:sz w:val="24"/>
        </w:rPr>
        <w:t>pirmo daļu,</w:t>
      </w:r>
    </w:p>
    <w:p w:rsidR="00DA623F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E318C5">
        <w:rPr>
          <w:rFonts w:ascii="Times New Roman" w:eastAsia="Calibri" w:hAnsi="Times New Roman" w:cs="Times New Roman"/>
          <w:i/>
          <w:iCs/>
          <w:sz w:val="24"/>
        </w:rPr>
        <w:t>1.</w:t>
      </w:r>
      <w:r w:rsidRPr="00E318C5">
        <w:rPr>
          <w:rFonts w:ascii="Times New Roman" w:eastAsia="Calibri" w:hAnsi="Times New Roman" w:cs="Times New Roman"/>
          <w:i/>
          <w:iCs/>
          <w:sz w:val="24"/>
          <w:vertAlign w:val="superscript"/>
        </w:rPr>
        <w:t>4</w:t>
      </w:r>
      <w:r w:rsidRPr="00E318C5">
        <w:rPr>
          <w:rFonts w:ascii="Times New Roman" w:eastAsia="Calibri" w:hAnsi="Times New Roman" w:cs="Times New Roman"/>
          <w:i/>
          <w:iCs/>
          <w:sz w:val="24"/>
        </w:rPr>
        <w:t>, 1.</w:t>
      </w:r>
      <w:r w:rsidRPr="00E318C5">
        <w:rPr>
          <w:rFonts w:ascii="Times New Roman" w:eastAsia="Calibri" w:hAnsi="Times New Roman" w:cs="Times New Roman"/>
          <w:i/>
          <w:iCs/>
          <w:sz w:val="24"/>
          <w:vertAlign w:val="superscript"/>
        </w:rPr>
        <w:t>6</w:t>
      </w:r>
      <w:r w:rsidRPr="00E318C5">
        <w:rPr>
          <w:rFonts w:ascii="Times New Roman" w:eastAsia="Calibri" w:hAnsi="Times New Roman" w:cs="Times New Roman"/>
          <w:i/>
          <w:iCs/>
          <w:sz w:val="24"/>
        </w:rPr>
        <w:t xml:space="preserve"> daļu, 5.panta trešo daļu, 9.panta</w:t>
      </w:r>
      <w:r w:rsidRPr="00E318C5">
        <w:rPr>
          <w:rFonts w:ascii="Times New Roman" w:eastAsia="Calibri" w:hAnsi="Times New Roman" w:cs="Times New Roman"/>
          <w:i/>
          <w:iCs/>
          <w:color w:val="0563C1"/>
          <w:sz w:val="24"/>
        </w:rPr>
        <w:t xml:space="preserve"> </w:t>
      </w:r>
      <w:r w:rsidRPr="00E318C5">
        <w:rPr>
          <w:rFonts w:ascii="Times New Roman" w:eastAsia="Calibri" w:hAnsi="Times New Roman" w:cs="Times New Roman"/>
          <w:i/>
          <w:iCs/>
          <w:sz w:val="24"/>
        </w:rPr>
        <w:t>otro daļu</w:t>
      </w:r>
    </w:p>
    <w:p w:rsidR="00DA623F" w:rsidRPr="00E318C5" w:rsidRDefault="00DA623F" w:rsidP="00DA623F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</w:p>
    <w:p w:rsidR="00DA623F" w:rsidRPr="00A1447D" w:rsidRDefault="00DA623F" w:rsidP="00A14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7D">
        <w:rPr>
          <w:rFonts w:ascii="Times New Roman" w:hAnsi="Times New Roman" w:cs="Times New Roman"/>
          <w:sz w:val="24"/>
          <w:szCs w:val="24"/>
        </w:rPr>
        <w:t>Izdarīt Saulkrastu novada domes 201</w:t>
      </w:r>
      <w:r w:rsidR="00B61F53" w:rsidRPr="00A1447D">
        <w:rPr>
          <w:rFonts w:ascii="Times New Roman" w:hAnsi="Times New Roman" w:cs="Times New Roman"/>
          <w:sz w:val="24"/>
          <w:szCs w:val="24"/>
        </w:rPr>
        <w:t>7</w:t>
      </w:r>
      <w:r w:rsidRPr="00A1447D">
        <w:rPr>
          <w:rFonts w:ascii="Times New Roman" w:hAnsi="Times New Roman" w:cs="Times New Roman"/>
          <w:sz w:val="24"/>
          <w:szCs w:val="24"/>
        </w:rPr>
        <w:t>.gada 3</w:t>
      </w:r>
      <w:r w:rsidR="00B61F53" w:rsidRPr="00A1447D">
        <w:rPr>
          <w:rFonts w:ascii="Times New Roman" w:hAnsi="Times New Roman" w:cs="Times New Roman"/>
          <w:sz w:val="24"/>
          <w:szCs w:val="24"/>
        </w:rPr>
        <w:t>0</w:t>
      </w:r>
      <w:r w:rsidRPr="00A1447D">
        <w:rPr>
          <w:rFonts w:ascii="Times New Roman" w:hAnsi="Times New Roman" w:cs="Times New Roman"/>
          <w:sz w:val="24"/>
          <w:szCs w:val="24"/>
        </w:rPr>
        <w:t>.</w:t>
      </w:r>
      <w:r w:rsidR="00B61F53" w:rsidRPr="00A1447D">
        <w:rPr>
          <w:rFonts w:ascii="Times New Roman" w:hAnsi="Times New Roman" w:cs="Times New Roman"/>
          <w:sz w:val="24"/>
          <w:szCs w:val="24"/>
        </w:rPr>
        <w:t>augusta</w:t>
      </w:r>
      <w:r w:rsidRPr="00A1447D">
        <w:rPr>
          <w:rFonts w:ascii="Times New Roman" w:hAnsi="Times New Roman" w:cs="Times New Roman"/>
          <w:sz w:val="24"/>
          <w:szCs w:val="24"/>
        </w:rPr>
        <w:t xml:space="preserve"> saistošajos noteikumos Nr. </w:t>
      </w:r>
      <w:r w:rsidR="00B61F53" w:rsidRPr="00A1447D">
        <w:rPr>
          <w:rFonts w:ascii="Times New Roman" w:hAnsi="Times New Roman" w:cs="Times New Roman"/>
          <w:sz w:val="24"/>
          <w:szCs w:val="24"/>
        </w:rPr>
        <w:t>SN 14/2017</w:t>
      </w:r>
      <w:r w:rsidRPr="00A1447D">
        <w:rPr>
          <w:rFonts w:ascii="Times New Roman" w:hAnsi="Times New Roman" w:cs="Times New Roman"/>
          <w:sz w:val="24"/>
          <w:szCs w:val="24"/>
        </w:rPr>
        <w:t xml:space="preserve"> “</w:t>
      </w:r>
      <w:hyperlink r:id="rId6" w:tgtFrame="_blank" w:history="1">
        <w:r w:rsidR="00B61F53" w:rsidRPr="00A1447D">
          <w:rPr>
            <w:rFonts w:ascii="Times New Roman" w:hAnsi="Times New Roman" w:cs="Times New Roman"/>
            <w:sz w:val="24"/>
            <w:szCs w:val="24"/>
          </w:rPr>
          <w:t>Par nekustamā īpašuma nodokli</w:t>
        </w:r>
      </w:hyperlink>
      <w:r w:rsidR="00B61F53" w:rsidRPr="00A1447D">
        <w:rPr>
          <w:rFonts w:ascii="Times New Roman" w:hAnsi="Times New Roman" w:cs="Times New Roman"/>
          <w:sz w:val="24"/>
          <w:szCs w:val="24"/>
        </w:rPr>
        <w:t xml:space="preserve"> un nekustamā īpašuma nodokļa atvieglojumu piemērošanu Saulkrastu novadā</w:t>
      </w:r>
      <w:r w:rsidRPr="00A1447D">
        <w:rPr>
          <w:rFonts w:ascii="Times New Roman" w:hAnsi="Times New Roman" w:cs="Times New Roman"/>
          <w:sz w:val="24"/>
          <w:szCs w:val="24"/>
        </w:rPr>
        <w:t>” (turpmāk - Noteikumi) šādu</w:t>
      </w:r>
      <w:r w:rsidR="00DC3BCB">
        <w:rPr>
          <w:rFonts w:ascii="Times New Roman" w:hAnsi="Times New Roman" w:cs="Times New Roman"/>
          <w:sz w:val="24"/>
          <w:szCs w:val="24"/>
        </w:rPr>
        <w:t>s</w:t>
      </w:r>
      <w:r w:rsidRPr="00A1447D">
        <w:rPr>
          <w:rFonts w:ascii="Times New Roman" w:hAnsi="Times New Roman" w:cs="Times New Roman"/>
          <w:sz w:val="24"/>
          <w:szCs w:val="24"/>
        </w:rPr>
        <w:t xml:space="preserve"> grozījumu</w:t>
      </w:r>
      <w:r w:rsidR="00DC3BCB">
        <w:rPr>
          <w:rFonts w:ascii="Times New Roman" w:hAnsi="Times New Roman" w:cs="Times New Roman"/>
          <w:sz w:val="24"/>
          <w:szCs w:val="24"/>
        </w:rPr>
        <w:t>s</w:t>
      </w:r>
      <w:r w:rsidRPr="00A144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442" w:rsidRDefault="00095442" w:rsidP="000954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2B" w:rsidRPr="003A4C47" w:rsidRDefault="0007372B" w:rsidP="000A4684">
      <w:pPr>
        <w:pStyle w:val="ListParagraph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</w:rPr>
      </w:pPr>
      <w:r w:rsidRPr="003A4C47">
        <w:rPr>
          <w:rFonts w:ascii="Times New Roman" w:eastAsia="Calibri" w:hAnsi="Times New Roman" w:cs="Times New Roman"/>
          <w:sz w:val="24"/>
        </w:rPr>
        <w:t>Papildināt Noteikumus ar jaunu 3.</w:t>
      </w:r>
      <w:r w:rsidRPr="003A4C47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3A4C47">
        <w:rPr>
          <w:rFonts w:ascii="Times New Roman" w:eastAsia="Calibri" w:hAnsi="Times New Roman" w:cs="Times New Roman"/>
          <w:sz w:val="24"/>
        </w:rPr>
        <w:t xml:space="preserve"> šādā redakcijā:</w:t>
      </w:r>
    </w:p>
    <w:p w:rsidR="0007372B" w:rsidRDefault="0007372B" w:rsidP="000A468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“3.</w:t>
      </w:r>
      <w:r w:rsidRPr="00590B36">
        <w:rPr>
          <w:rFonts w:ascii="Times New Roman" w:eastAsia="Calibri" w:hAnsi="Times New Roman" w:cs="Times New Roman"/>
          <w:sz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Ja taksācijas periodā nekustamajā īpašumā </w:t>
      </w:r>
      <w:r w:rsidRPr="00E318C5">
        <w:rPr>
          <w:rFonts w:ascii="Times New Roman" w:eastAsia="Calibri" w:hAnsi="Times New Roman" w:cs="Times New Roman"/>
          <w:sz w:val="24"/>
        </w:rPr>
        <w:t xml:space="preserve">dzīvesvieta </w:t>
      </w:r>
      <w:r>
        <w:rPr>
          <w:rFonts w:ascii="Times New Roman" w:eastAsia="Calibri" w:hAnsi="Times New Roman" w:cs="Times New Roman"/>
          <w:sz w:val="24"/>
        </w:rPr>
        <w:t xml:space="preserve">tiek </w:t>
      </w:r>
      <w:r w:rsidRPr="00E318C5">
        <w:rPr>
          <w:rFonts w:ascii="Times New Roman" w:eastAsia="Calibri" w:hAnsi="Times New Roman" w:cs="Times New Roman"/>
          <w:sz w:val="24"/>
        </w:rPr>
        <w:t>deklarēta vismaz vienai personai, kas ir rezidents</w:t>
      </w:r>
      <w:r>
        <w:rPr>
          <w:rFonts w:ascii="Times New Roman" w:eastAsia="Calibri" w:hAnsi="Times New Roman" w:cs="Times New Roman"/>
          <w:sz w:val="24"/>
        </w:rPr>
        <w:t xml:space="preserve">, ar nākamo mēnesi tiek piemērota nodokļa likme </w:t>
      </w:r>
      <w:r w:rsidRPr="00E318C5">
        <w:rPr>
          <w:rFonts w:ascii="Times New Roman" w:eastAsia="Calibri" w:hAnsi="Times New Roman" w:cs="Times New Roman"/>
          <w:sz w:val="24"/>
        </w:rPr>
        <w:t>0,2% no kadastrālās vērtības, kas nepārsniedz 56 915 EUR, 0,4% no kadastrālās vērtības, kas pārsniedz 56 915 EUR, bet nepārsniedz 106 715 EUR un 0,6% no kadastrālās vērtības daļas, kas pārsniedz 106 715 EUR</w:t>
      </w:r>
      <w:r>
        <w:rPr>
          <w:rFonts w:ascii="Times New Roman" w:eastAsia="Calibri" w:hAnsi="Times New Roman" w:cs="Times New Roman"/>
          <w:sz w:val="24"/>
        </w:rPr>
        <w:t>. Pašvaldība veic nekustamā īpašuma pārrēķinu ar nākamo mēnesi.</w:t>
      </w:r>
      <w:r w:rsidR="00DC3BCB">
        <w:rPr>
          <w:rFonts w:ascii="Times New Roman" w:eastAsia="Calibri" w:hAnsi="Times New Roman" w:cs="Times New Roman"/>
          <w:sz w:val="24"/>
        </w:rPr>
        <w:t>”.</w:t>
      </w:r>
    </w:p>
    <w:p w:rsidR="003A4C47" w:rsidRPr="003A4C47" w:rsidRDefault="003A4C47" w:rsidP="000A4684">
      <w:pPr>
        <w:pStyle w:val="ListParagraph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r w:rsidRPr="005B3918">
        <w:rPr>
          <w:rFonts w:ascii="Times New Roman" w:eastAsia="Calibri" w:hAnsi="Times New Roman" w:cs="Times New Roman"/>
          <w:sz w:val="24"/>
        </w:rPr>
        <w:t>Papildināt Noteikumus ar jaunu</w:t>
      </w:r>
      <w:r w:rsidRPr="003A4C47">
        <w:rPr>
          <w:rFonts w:ascii="Times New Roman" w:eastAsia="Calibri" w:hAnsi="Times New Roman" w:cs="Times New Roman"/>
          <w:sz w:val="24"/>
        </w:rPr>
        <w:t xml:space="preserve"> </w:t>
      </w:r>
      <w:r w:rsidRPr="005B3918">
        <w:rPr>
          <w:rFonts w:ascii="Times New Roman" w:eastAsia="Calibri" w:hAnsi="Times New Roman" w:cs="Times New Roman"/>
          <w:sz w:val="24"/>
        </w:rPr>
        <w:t>un 3.</w:t>
      </w:r>
      <w:r w:rsidRPr="005B3918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5B3918">
        <w:rPr>
          <w:rFonts w:ascii="Times New Roman" w:eastAsia="Calibri" w:hAnsi="Times New Roman" w:cs="Times New Roman"/>
          <w:sz w:val="24"/>
        </w:rPr>
        <w:t xml:space="preserve"> punktu šādā redakcijā</w:t>
      </w:r>
      <w:r>
        <w:rPr>
          <w:rFonts w:ascii="Times New Roman" w:eastAsia="Calibri" w:hAnsi="Times New Roman" w:cs="Times New Roman"/>
          <w:sz w:val="24"/>
        </w:rPr>
        <w:t>:</w:t>
      </w:r>
    </w:p>
    <w:bookmarkEnd w:id="0"/>
    <w:p w:rsidR="0007372B" w:rsidRDefault="003A4C47" w:rsidP="000A468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“</w:t>
      </w:r>
      <w:r w:rsidR="0007372B">
        <w:rPr>
          <w:rFonts w:ascii="Times New Roman" w:eastAsia="Calibri" w:hAnsi="Times New Roman" w:cs="Times New Roman"/>
          <w:sz w:val="24"/>
        </w:rPr>
        <w:t>3.</w:t>
      </w:r>
      <w:r w:rsidR="0007372B"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 w:rsidR="0007372B">
        <w:rPr>
          <w:rFonts w:ascii="Times New Roman" w:eastAsia="Calibri" w:hAnsi="Times New Roman" w:cs="Times New Roman"/>
          <w:sz w:val="24"/>
        </w:rPr>
        <w:t>Ja persona, kas ir rezidents, taksācijas gada laikā tiek izdeklarēta no objekta un objektā dzīvesvieta nav deklarēta vismaz vienai fiziskai personai, kas ir rezidents, ar nākamo mēnesi tiek piemērota nodokļa likme 1,5 % no objekta kadastrālās vērtības.</w:t>
      </w:r>
      <w:r w:rsidR="0007372B" w:rsidRPr="00B96D23">
        <w:rPr>
          <w:rFonts w:ascii="Times New Roman" w:eastAsia="Calibri" w:hAnsi="Times New Roman" w:cs="Times New Roman"/>
          <w:sz w:val="24"/>
        </w:rPr>
        <w:t xml:space="preserve"> </w:t>
      </w:r>
      <w:r w:rsidR="0007372B">
        <w:rPr>
          <w:rFonts w:ascii="Times New Roman" w:eastAsia="Calibri" w:hAnsi="Times New Roman" w:cs="Times New Roman"/>
          <w:sz w:val="24"/>
        </w:rPr>
        <w:t>Pašvaldība veic nekustamā īpašuma pārrēķinu ar nākamo mēnesi.”</w:t>
      </w:r>
      <w:r w:rsidR="00DC2976">
        <w:rPr>
          <w:rFonts w:ascii="Times New Roman" w:eastAsia="Calibri" w:hAnsi="Times New Roman" w:cs="Times New Roman"/>
          <w:sz w:val="24"/>
        </w:rPr>
        <w:t>.</w:t>
      </w:r>
    </w:p>
    <w:p w:rsidR="00DC2976" w:rsidRDefault="00DC2976" w:rsidP="0007372B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C2976" w:rsidRPr="00590B36" w:rsidRDefault="00DC2976" w:rsidP="0007372B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80698" w:rsidRDefault="00280698" w:rsidP="0028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.3"/>
      <w:bookmarkStart w:id="2" w:name="p-597761"/>
      <w:bookmarkEnd w:id="1"/>
      <w:bookmarkEnd w:id="2"/>
      <w:r w:rsidRPr="00280698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</w:r>
      <w:r w:rsidRPr="00280698">
        <w:rPr>
          <w:rFonts w:ascii="Times New Roman" w:hAnsi="Times New Roman" w:cs="Times New Roman"/>
          <w:sz w:val="24"/>
          <w:szCs w:val="24"/>
        </w:rPr>
        <w:tab/>
        <w:t>E.Grāvītis</w:t>
      </w:r>
    </w:p>
    <w:p w:rsidR="00280698" w:rsidRDefault="00320B78" w:rsidP="00280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A870E9" w:rsidRDefault="00A870E9" w:rsidP="0028069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lv-LV"/>
        </w:rPr>
      </w:pPr>
    </w:p>
    <w:p w:rsidR="000E527B" w:rsidRPr="00E318C5" w:rsidRDefault="000E527B" w:rsidP="000E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8C5">
        <w:rPr>
          <w:rFonts w:ascii="Times New Roman" w:eastAsia="Calibri" w:hAnsi="Times New Roman" w:cs="Times New Roman"/>
          <w:b/>
          <w:sz w:val="24"/>
          <w:szCs w:val="24"/>
        </w:rPr>
        <w:t>Saistošo noteikumu “</w:t>
      </w:r>
      <w:r w:rsidR="003F3C84" w:rsidRPr="00041AC4">
        <w:rPr>
          <w:rFonts w:ascii="Times New Roman" w:eastAsia="Calibri" w:hAnsi="Times New Roman" w:cs="Times New Roman"/>
          <w:b/>
          <w:bCs/>
          <w:sz w:val="24"/>
        </w:rPr>
        <w:t>Grozījumi Saulkrastu novada domes 2017.gada 30.augusta saistošajos noteikumos Nr. SN 14 /2017 “</w:t>
      </w:r>
      <w:hyperlink r:id="rId7" w:tgtFrame="_blank" w:history="1">
        <w:r w:rsidR="003F3C84" w:rsidRPr="00E318C5">
          <w:rPr>
            <w:rFonts w:ascii="Times New Roman" w:eastAsia="Calibri" w:hAnsi="Times New Roman" w:cs="Times New Roman"/>
            <w:b/>
            <w:sz w:val="24"/>
          </w:rPr>
          <w:t>Par nekustamā īpašuma nodokli</w:t>
        </w:r>
      </w:hyperlink>
      <w:r w:rsidR="003F3C84" w:rsidRPr="00E318C5">
        <w:rPr>
          <w:rFonts w:ascii="Times New Roman" w:eastAsia="Calibri" w:hAnsi="Times New Roman" w:cs="Times New Roman"/>
          <w:b/>
          <w:bCs/>
          <w:sz w:val="24"/>
        </w:rPr>
        <w:t xml:space="preserve"> un nekustamā īpašuma nodokļa atvieglojumu piemērošanu Saulkrastu novadā</w:t>
      </w:r>
      <w:r w:rsidR="003F3C84">
        <w:rPr>
          <w:rFonts w:ascii="Times New Roman" w:eastAsia="Calibri" w:hAnsi="Times New Roman" w:cs="Times New Roman"/>
          <w:b/>
          <w:bCs/>
          <w:sz w:val="24"/>
        </w:rPr>
        <w:t>”</w:t>
      </w:r>
      <w:r w:rsidRPr="00E318C5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0E527B" w:rsidRPr="00E318C5" w:rsidRDefault="000E527B" w:rsidP="00AF6F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527B" w:rsidRPr="00E318C5" w:rsidRDefault="000E527B" w:rsidP="000E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8C5">
        <w:rPr>
          <w:rFonts w:ascii="Times New Roman" w:eastAsia="Calibri" w:hAnsi="Times New Roman" w:cs="Times New Roman"/>
          <w:b/>
          <w:sz w:val="24"/>
          <w:szCs w:val="24"/>
        </w:rPr>
        <w:t>PASKAIDROJUMA RAKSTS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2"/>
        <w:gridCol w:w="5752"/>
      </w:tblGrid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AF6F25">
                <w:rPr>
                  <w:rFonts w:ascii="Times New Roman" w:eastAsia="Calibri" w:hAnsi="Times New Roman" w:cs="Times New Roman"/>
                  <w:b/>
                </w:rPr>
                <w:t>Paskaidrojuma</w:t>
              </w:r>
            </w:smartTag>
            <w:r w:rsidRPr="00AF6F25">
              <w:rPr>
                <w:rFonts w:ascii="Times New Roman" w:eastAsia="Calibri" w:hAnsi="Times New Roman" w:cs="Times New Roman"/>
                <w:b/>
              </w:rPr>
              <w:t xml:space="preserve"> raksta sadaļas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27B" w:rsidRPr="00AF6F25" w:rsidRDefault="000E527B" w:rsidP="0096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6F25">
              <w:rPr>
                <w:rFonts w:ascii="Times New Roman" w:eastAsia="Calibri" w:hAnsi="Times New Roman" w:cs="Times New Roman"/>
                <w:b/>
              </w:rPr>
              <w:t>Norādāmā informācija</w:t>
            </w:r>
          </w:p>
        </w:tc>
      </w:tr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1. Projekta nepieciešamības pamatojums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6F7C" w:rsidRDefault="000E527B" w:rsidP="00225398">
            <w:pPr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 xml:space="preserve">Saistošie noteikumi </w:t>
            </w:r>
            <w:r w:rsidR="00211CC5" w:rsidRPr="00AF6F25">
              <w:rPr>
                <w:rFonts w:ascii="Times New Roman" w:eastAsia="Calibri" w:hAnsi="Times New Roman" w:cs="Times New Roman"/>
                <w:bCs/>
              </w:rPr>
              <w:t>“Grozījumi Saulkrastu novada domes 2017.gada 30.augusta saistošajos noteikumos Nr. SN 14 /2017 “</w:t>
            </w:r>
            <w:hyperlink r:id="rId8" w:tgtFrame="_blank" w:history="1">
              <w:r w:rsidR="00211CC5" w:rsidRPr="00AF6F25">
                <w:rPr>
                  <w:rFonts w:ascii="Times New Roman" w:eastAsia="Calibri" w:hAnsi="Times New Roman" w:cs="Times New Roman"/>
                  <w:bCs/>
                </w:rPr>
                <w:t>Par nekustamā īpašuma nodokli</w:t>
              </w:r>
            </w:hyperlink>
            <w:r w:rsidR="00211CC5" w:rsidRPr="00AF6F25">
              <w:rPr>
                <w:rFonts w:ascii="Times New Roman" w:eastAsia="Calibri" w:hAnsi="Times New Roman" w:cs="Times New Roman"/>
                <w:bCs/>
              </w:rPr>
              <w:t xml:space="preserve"> un nekustamā īpašuma nodokļa atvieglojumu piemērošanu Saulkrastu novadā””</w:t>
            </w:r>
            <w:r w:rsidRPr="00AF6F25">
              <w:rPr>
                <w:rFonts w:ascii="Times New Roman" w:eastAsia="Calibri" w:hAnsi="Times New Roman" w:cs="Times New Roman"/>
              </w:rPr>
              <w:t xml:space="preserve"> (turpmāk - Noteikumi) izstrādāti</w:t>
            </w:r>
            <w:r w:rsidR="00920A04">
              <w:rPr>
                <w:rFonts w:ascii="Times New Roman" w:eastAsia="Calibri" w:hAnsi="Times New Roman" w:cs="Times New Roman"/>
              </w:rPr>
              <w:t xml:space="preserve">, lai nodrošinātu nekustamā īpašuma nodokļa likmes pārrēķinu, gadījumā, ja īpašumā </w:t>
            </w:r>
            <w:r w:rsidR="00CB7A39">
              <w:rPr>
                <w:rFonts w:ascii="Times New Roman" w:eastAsia="Calibri" w:hAnsi="Times New Roman" w:cs="Times New Roman"/>
              </w:rPr>
              <w:t xml:space="preserve">(pēc 1.janvāra pulksten 0.00) </w:t>
            </w:r>
            <w:r w:rsidR="00920A04">
              <w:rPr>
                <w:rFonts w:ascii="Times New Roman" w:eastAsia="Calibri" w:hAnsi="Times New Roman" w:cs="Times New Roman"/>
              </w:rPr>
              <w:t>tiek deklarēta vismaz viena persona.</w:t>
            </w:r>
            <w:r w:rsidRPr="00AF6F25">
              <w:rPr>
                <w:rFonts w:ascii="Times New Roman" w:eastAsia="Calibri" w:hAnsi="Times New Roman" w:cs="Times New Roman"/>
              </w:rPr>
              <w:t xml:space="preserve"> </w:t>
            </w:r>
            <w:r w:rsidR="00920A04">
              <w:rPr>
                <w:rFonts w:ascii="Times New Roman" w:eastAsia="Calibri" w:hAnsi="Times New Roman" w:cs="Times New Roman"/>
              </w:rPr>
              <w:t xml:space="preserve">Pie esošā regulējuma, šāds nekustamā īpašuma nodokļa pārrēķins nav </w:t>
            </w:r>
            <w:r w:rsidR="00225398">
              <w:rPr>
                <w:rFonts w:ascii="Times New Roman" w:eastAsia="Calibri" w:hAnsi="Times New Roman" w:cs="Times New Roman"/>
              </w:rPr>
              <w:t xml:space="preserve">paredzēts, līdz ar to personām, kuras sev piederošā nekustamā īpašumā deklarē dzīvesvietu </w:t>
            </w:r>
            <w:r w:rsidR="00777A98">
              <w:rPr>
                <w:rFonts w:ascii="Times New Roman" w:eastAsia="Calibri" w:hAnsi="Times New Roman" w:cs="Times New Roman"/>
              </w:rPr>
              <w:t>vismaz vienai personai, nav ies</w:t>
            </w:r>
            <w:r w:rsidR="00225398">
              <w:rPr>
                <w:rFonts w:ascii="Times New Roman" w:eastAsia="Calibri" w:hAnsi="Times New Roman" w:cs="Times New Roman"/>
              </w:rPr>
              <w:t xml:space="preserve">pējams likmes pārrēķins no likmes 1,5 % uz likmi 0,2%. </w:t>
            </w:r>
          </w:p>
          <w:p w:rsidR="000E527B" w:rsidRPr="00AF6F25" w:rsidRDefault="006C6F7C" w:rsidP="00777A98">
            <w:pPr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Tāpat grozījumi paredz arī </w:t>
            </w:r>
            <w:r w:rsidR="00777A98">
              <w:rPr>
                <w:rFonts w:ascii="Times New Roman" w:eastAsia="Calibri" w:hAnsi="Times New Roman" w:cs="Times New Roman"/>
              </w:rPr>
              <w:t>likmes pārrēķināšanas tiesību pretējā</w:t>
            </w:r>
            <w:r>
              <w:rPr>
                <w:rFonts w:ascii="Times New Roman" w:eastAsia="Calibri" w:hAnsi="Times New Roman" w:cs="Times New Roman"/>
              </w:rPr>
              <w:t xml:space="preserve"> gadījumā, ja īpašumā nav nevienas deklarētās personas, likme tiek pārrēķināta </w:t>
            </w:r>
            <w:r w:rsidR="00777A98">
              <w:rPr>
                <w:rFonts w:ascii="Times New Roman" w:eastAsia="Calibri" w:hAnsi="Times New Roman" w:cs="Times New Roman"/>
              </w:rPr>
              <w:t>uz 1,5 %.</w:t>
            </w:r>
          </w:p>
        </w:tc>
      </w:tr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2. Īss projekta satura izklāsts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7A39" w:rsidRDefault="00CB7A39" w:rsidP="00CB7A39">
            <w:pPr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 nodrošinātu, ka nekustamā īpašuma nodokļa likme tiek pārrēķināta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</w:rPr>
              <w:t>gadījumā, ja īpašumā (pēc 1.janvāra pulksten 0.00) tiek deklarēta vis</w:t>
            </w:r>
            <w:r w:rsidR="00BC6475">
              <w:rPr>
                <w:rFonts w:ascii="Times New Roman" w:eastAsia="Calibri" w:hAnsi="Times New Roman" w:cs="Times New Roman"/>
              </w:rPr>
              <w:t xml:space="preserve">maz viena persona, ir iestrādāta norma, kas noteic pārrēķinu no likmes 1,5 % uz likmi 0,2%.  </w:t>
            </w:r>
            <w:r w:rsidRPr="00AF6F2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Pie esošā regulējuma, šāds nekustamā īpašuma nodokļa pārrēķins nav </w:t>
            </w:r>
            <w:r w:rsidR="001F540D">
              <w:rPr>
                <w:rFonts w:ascii="Times New Roman" w:eastAsia="Calibri" w:hAnsi="Times New Roman" w:cs="Times New Roman"/>
              </w:rPr>
              <w:t>paredzēts.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527B" w:rsidRPr="00AF6F25" w:rsidRDefault="00CB7A39" w:rsidP="00EB6928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>Tāpat grozījumi paredz arī likmes pārrēķināšanas tiesību pretējā gadījumā, ja īpašumā nav nevienas deklarētās personas, likme tiek pārrēķināta uz 1,5 %.</w:t>
            </w:r>
            <w:r w:rsidR="001F54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228" w:rsidRPr="00AF6F25" w:rsidRDefault="00BD31B7" w:rsidP="004B4727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AF6F2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0E527B" w:rsidRPr="00AF6F25" w:rsidTr="00960691">
        <w:trPr>
          <w:trHeight w:val="825"/>
        </w:trPr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3. Informācija par plānoto projekta ietekmi uz pašvaldības budžetu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ED3699" w:rsidP="001F5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N</w:t>
            </w:r>
            <w:r w:rsidR="000E527B" w:rsidRPr="00AF6F25">
              <w:rPr>
                <w:rFonts w:ascii="Times New Roman" w:eastAsia="Calibri" w:hAnsi="Times New Roman" w:cs="Times New Roman"/>
              </w:rPr>
              <w:t>oteikumu īstenošanai tiek prognozēta neitrāla finansiāla</w:t>
            </w:r>
            <w:r w:rsidRPr="00AF6F25">
              <w:rPr>
                <w:rFonts w:ascii="Times New Roman" w:eastAsia="Calibri" w:hAnsi="Times New Roman" w:cs="Times New Roman"/>
              </w:rPr>
              <w:t xml:space="preserve"> ietekme uz pašvaldības budžetu</w:t>
            </w:r>
            <w:r w:rsidR="001F540D">
              <w:rPr>
                <w:rFonts w:ascii="Times New Roman" w:eastAsia="Calibri" w:hAnsi="Times New Roman" w:cs="Times New Roman"/>
              </w:rPr>
              <w:t>.</w:t>
            </w:r>
            <w:r w:rsidRPr="00AF6F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4. Informācija par plānoto projekta ietekmi uz sociāli ekonomisko stāvokli (uzņēmējdarbības vidi) pašvaldības teritorijā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8D1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Projekts labvēlīgi ietekmē personas, kuras deklarē savā nekustamajā īpašumā Saulkrastu novadā</w:t>
            </w:r>
            <w:r w:rsidR="001F540D">
              <w:rPr>
                <w:rFonts w:ascii="Times New Roman" w:eastAsia="Calibri" w:hAnsi="Times New Roman" w:cs="Times New Roman"/>
              </w:rPr>
              <w:t xml:space="preserve"> vismaz vienu personu, kas </w:t>
            </w:r>
            <w:r w:rsidR="008D19B8">
              <w:rPr>
                <w:rFonts w:ascii="Times New Roman" w:eastAsia="Calibri" w:hAnsi="Times New Roman" w:cs="Times New Roman"/>
              </w:rPr>
              <w:t>ir rezidents</w:t>
            </w:r>
            <w:r w:rsidR="00983C5C" w:rsidRPr="00AF6F25">
              <w:rPr>
                <w:rFonts w:ascii="Times New Roman" w:eastAsia="Calibri" w:hAnsi="Times New Roman" w:cs="Times New Roman"/>
              </w:rPr>
              <w:t>.</w:t>
            </w:r>
            <w:r w:rsidRPr="00AF6F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5. Informācija par administratīvajām procedūrām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8D19B8" w:rsidP="00EB69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 xml:space="preserve">Nav attiecināms. </w:t>
            </w:r>
          </w:p>
        </w:tc>
      </w:tr>
      <w:tr w:rsidR="000E527B" w:rsidRPr="00AF6F25" w:rsidTr="00960691">
        <w:tc>
          <w:tcPr>
            <w:tcW w:w="1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6. Informācija par konsultācijām ar privātpersonām</w:t>
            </w:r>
          </w:p>
        </w:tc>
        <w:tc>
          <w:tcPr>
            <w:tcW w:w="30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27B" w:rsidRPr="00AF6F25" w:rsidRDefault="000E527B" w:rsidP="009606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6F25">
              <w:rPr>
                <w:rFonts w:ascii="Times New Roman" w:eastAsia="Calibri" w:hAnsi="Times New Roman" w:cs="Times New Roman"/>
              </w:rPr>
              <w:t>Nav notikušas konsultācijas ar privātpersonām.</w:t>
            </w:r>
          </w:p>
        </w:tc>
      </w:tr>
    </w:tbl>
    <w:p w:rsidR="00AF6F25" w:rsidRDefault="00AF6F25" w:rsidP="00AF6F25">
      <w:pPr>
        <w:rPr>
          <w:rFonts w:ascii="Times New Roman" w:eastAsia="Calibri" w:hAnsi="Times New Roman" w:cs="Times New Roman"/>
          <w:sz w:val="24"/>
          <w:szCs w:val="24"/>
        </w:rPr>
      </w:pPr>
    </w:p>
    <w:p w:rsidR="000E527B" w:rsidRPr="00280698" w:rsidRDefault="000E527B" w:rsidP="00AF6F25">
      <w:pPr>
        <w:rPr>
          <w:rFonts w:ascii="Times New Roman" w:eastAsia="Calibri" w:hAnsi="Times New Roman" w:cs="Times New Roman"/>
          <w:bCs/>
          <w:color w:val="000000"/>
          <w:lang w:eastAsia="lv-LV"/>
        </w:rPr>
      </w:pPr>
      <w:r w:rsidRPr="00E318C5"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 w:rsidRPr="00E318C5">
        <w:rPr>
          <w:rFonts w:ascii="Times New Roman" w:eastAsia="Calibri" w:hAnsi="Times New Roman" w:cs="Times New Roman"/>
          <w:sz w:val="24"/>
          <w:szCs w:val="24"/>
        </w:rPr>
        <w:tab/>
      </w:r>
      <w:r w:rsidRPr="00E318C5">
        <w:rPr>
          <w:rFonts w:ascii="Times New Roman" w:eastAsia="Calibri" w:hAnsi="Times New Roman" w:cs="Times New Roman"/>
          <w:sz w:val="24"/>
          <w:szCs w:val="24"/>
        </w:rPr>
        <w:tab/>
      </w:r>
      <w:r w:rsidRPr="00E318C5">
        <w:rPr>
          <w:rFonts w:ascii="Times New Roman" w:eastAsia="Calibri" w:hAnsi="Times New Roman" w:cs="Times New Roman"/>
          <w:sz w:val="24"/>
          <w:szCs w:val="24"/>
        </w:rPr>
        <w:tab/>
      </w:r>
      <w:r w:rsidRPr="00E318C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318C5">
        <w:rPr>
          <w:rFonts w:ascii="Times New Roman" w:eastAsia="Calibri" w:hAnsi="Times New Roman" w:cs="Times New Roman"/>
          <w:sz w:val="24"/>
          <w:szCs w:val="24"/>
        </w:rPr>
        <w:tab/>
        <w:t>Ervīns Grāvītis</w:t>
      </w:r>
    </w:p>
    <w:sectPr w:rsidR="000E527B" w:rsidRPr="00280698" w:rsidSect="00AF6F25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5.75pt" o:bullet="t">
        <v:imagedata r:id="rId1" o:title=""/>
      </v:shape>
    </w:pict>
  </w:numPicBullet>
  <w:numPicBullet w:numPicBulletId="1">
    <w:pict>
      <v:shape id="_x0000_i1037" type="#_x0000_t75" alt="https://www.vestnesis.lv/wwwraksti/BILDES/KVADRATS.GIF" style="width:9.75pt;height:9.75pt;visibility:visible;mso-wrap-style:square" o:bullet="t">
        <v:imagedata r:id="rId2" o:title="KVADRATS"/>
      </v:shape>
    </w:pict>
  </w:numPicBullet>
  <w:abstractNum w:abstractNumId="0" w15:restartNumberingAfterBreak="0">
    <w:nsid w:val="07D948CA"/>
    <w:multiLevelType w:val="hybridMultilevel"/>
    <w:tmpl w:val="78CCC44C"/>
    <w:lvl w:ilvl="0" w:tplc="3306D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B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CE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E1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A3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C3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86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23E3B"/>
    <w:multiLevelType w:val="hybridMultilevel"/>
    <w:tmpl w:val="2FA89234"/>
    <w:lvl w:ilvl="0" w:tplc="7BC22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5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44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F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CF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EF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40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81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4D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8E3A71"/>
    <w:multiLevelType w:val="multilevel"/>
    <w:tmpl w:val="3FF8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8A17C0"/>
    <w:multiLevelType w:val="multilevel"/>
    <w:tmpl w:val="3912EA9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4" w15:restartNumberingAfterBreak="0">
    <w:nsid w:val="467238B9"/>
    <w:multiLevelType w:val="hybridMultilevel"/>
    <w:tmpl w:val="028C0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857"/>
    <w:multiLevelType w:val="hybridMultilevel"/>
    <w:tmpl w:val="48AC644C"/>
    <w:lvl w:ilvl="0" w:tplc="6BBA1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66015F"/>
    <w:multiLevelType w:val="multilevel"/>
    <w:tmpl w:val="3912EA9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3F"/>
    <w:rsid w:val="00041AC4"/>
    <w:rsid w:val="00071842"/>
    <w:rsid w:val="0007372B"/>
    <w:rsid w:val="000819E0"/>
    <w:rsid w:val="00095442"/>
    <w:rsid w:val="000A4684"/>
    <w:rsid w:val="000A611E"/>
    <w:rsid w:val="000B2089"/>
    <w:rsid w:val="000E1809"/>
    <w:rsid w:val="000E527B"/>
    <w:rsid w:val="000F6BB7"/>
    <w:rsid w:val="00140228"/>
    <w:rsid w:val="001712FE"/>
    <w:rsid w:val="001A4D63"/>
    <w:rsid w:val="001F540D"/>
    <w:rsid w:val="00211CC5"/>
    <w:rsid w:val="00225398"/>
    <w:rsid w:val="00280698"/>
    <w:rsid w:val="002F2FCE"/>
    <w:rsid w:val="00320B78"/>
    <w:rsid w:val="003361D7"/>
    <w:rsid w:val="0037730C"/>
    <w:rsid w:val="003A4C47"/>
    <w:rsid w:val="003F3C84"/>
    <w:rsid w:val="00426ABB"/>
    <w:rsid w:val="00465EF2"/>
    <w:rsid w:val="004B4727"/>
    <w:rsid w:val="00510FFC"/>
    <w:rsid w:val="00560649"/>
    <w:rsid w:val="00584651"/>
    <w:rsid w:val="005A6CB2"/>
    <w:rsid w:val="005C11B7"/>
    <w:rsid w:val="005D1157"/>
    <w:rsid w:val="005E669F"/>
    <w:rsid w:val="00605537"/>
    <w:rsid w:val="006C6F7C"/>
    <w:rsid w:val="00777A98"/>
    <w:rsid w:val="007C63BA"/>
    <w:rsid w:val="008315F3"/>
    <w:rsid w:val="008D19B8"/>
    <w:rsid w:val="0090693B"/>
    <w:rsid w:val="00920A04"/>
    <w:rsid w:val="00976F35"/>
    <w:rsid w:val="00983C5C"/>
    <w:rsid w:val="009C1F93"/>
    <w:rsid w:val="00A1447D"/>
    <w:rsid w:val="00A15483"/>
    <w:rsid w:val="00A70F65"/>
    <w:rsid w:val="00A870E9"/>
    <w:rsid w:val="00AC7697"/>
    <w:rsid w:val="00AF6F25"/>
    <w:rsid w:val="00B13C20"/>
    <w:rsid w:val="00B61F53"/>
    <w:rsid w:val="00BC04A0"/>
    <w:rsid w:val="00BC6475"/>
    <w:rsid w:val="00BD31B7"/>
    <w:rsid w:val="00C42112"/>
    <w:rsid w:val="00CB7A39"/>
    <w:rsid w:val="00CC3E3E"/>
    <w:rsid w:val="00D40AA8"/>
    <w:rsid w:val="00D6599F"/>
    <w:rsid w:val="00D71AD8"/>
    <w:rsid w:val="00D97CE2"/>
    <w:rsid w:val="00DA623F"/>
    <w:rsid w:val="00DC2976"/>
    <w:rsid w:val="00DC3BCB"/>
    <w:rsid w:val="00E32655"/>
    <w:rsid w:val="00E3417E"/>
    <w:rsid w:val="00E4198A"/>
    <w:rsid w:val="00E733C9"/>
    <w:rsid w:val="00EB6928"/>
    <w:rsid w:val="00EC1979"/>
    <w:rsid w:val="00ED3699"/>
    <w:rsid w:val="00F8564D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B53F97A-A744-4EC2-B8D7-11025B3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3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F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8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48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3913-par-nekustama-ipasuma-nod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3913-par-nekustama-ipasuma-nodok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3913-par-nekustama-ipasuma-nodokli" TargetMode="External"/><Relationship Id="rId5" Type="http://schemas.openxmlformats.org/officeDocument/2006/relationships/hyperlink" Target="https://likumi.lv/ta/id/43913-par-nekustama-ipasuma-nodok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cp:lastPrinted>2018-02-06T11:12:00Z</cp:lastPrinted>
  <dcterms:created xsi:type="dcterms:W3CDTF">2018-02-06T11:20:00Z</dcterms:created>
  <dcterms:modified xsi:type="dcterms:W3CDTF">2018-02-06T11:20:00Z</dcterms:modified>
</cp:coreProperties>
</file>