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56" w:rsidRDefault="006D1956" w:rsidP="00770320">
      <w:pPr>
        <w:ind w:right="-874"/>
        <w:jc w:val="both"/>
        <w:rPr>
          <w:b/>
          <w:i/>
          <w:iCs/>
          <w:sz w:val="22"/>
          <w:szCs w:val="22"/>
        </w:rPr>
      </w:pPr>
    </w:p>
    <w:p w:rsidR="006D1956" w:rsidRDefault="006D1956" w:rsidP="00770320">
      <w:pPr>
        <w:ind w:right="-874"/>
        <w:jc w:val="both"/>
        <w:rPr>
          <w:b/>
          <w:i/>
          <w:iCs/>
          <w:sz w:val="22"/>
          <w:szCs w:val="22"/>
        </w:rPr>
      </w:pPr>
    </w:p>
    <w:p w:rsidR="00D211F5" w:rsidRPr="00AC4521" w:rsidRDefault="00D211F5" w:rsidP="00D211F5">
      <w:pPr>
        <w:ind w:right="659"/>
        <w:jc w:val="right"/>
        <w:rPr>
          <w:b/>
          <w:sz w:val="20"/>
          <w:szCs w:val="20"/>
        </w:rPr>
      </w:pPr>
      <w:r w:rsidRPr="00AC4521">
        <w:rPr>
          <w:b/>
          <w:sz w:val="20"/>
          <w:szCs w:val="20"/>
        </w:rPr>
        <w:t>APSTIPRINĀTS</w:t>
      </w:r>
    </w:p>
    <w:p w:rsidR="00D211F5" w:rsidRPr="00AC4521" w:rsidRDefault="00D211F5" w:rsidP="00D211F5">
      <w:pPr>
        <w:ind w:right="659"/>
        <w:jc w:val="right"/>
        <w:rPr>
          <w:sz w:val="20"/>
          <w:szCs w:val="20"/>
        </w:rPr>
      </w:pPr>
      <w:r>
        <w:rPr>
          <w:sz w:val="20"/>
          <w:szCs w:val="20"/>
        </w:rPr>
        <w:t>2018</w:t>
      </w:r>
      <w:r w:rsidRPr="00AC4521">
        <w:rPr>
          <w:sz w:val="20"/>
          <w:szCs w:val="20"/>
        </w:rPr>
        <w:t>.</w:t>
      </w:r>
      <w:r w:rsidR="0026447F">
        <w:rPr>
          <w:sz w:val="20"/>
          <w:szCs w:val="20"/>
        </w:rPr>
        <w:t>gada 22</w:t>
      </w:r>
      <w:r>
        <w:rPr>
          <w:sz w:val="20"/>
          <w:szCs w:val="20"/>
        </w:rPr>
        <w:t>. februāra</w:t>
      </w:r>
    </w:p>
    <w:p w:rsidR="00D211F5" w:rsidRPr="00AC4521" w:rsidRDefault="00D211F5" w:rsidP="00D211F5">
      <w:pPr>
        <w:ind w:right="659"/>
        <w:jc w:val="right"/>
        <w:rPr>
          <w:sz w:val="20"/>
          <w:szCs w:val="20"/>
        </w:rPr>
      </w:pPr>
      <w:r w:rsidRPr="00AC4521">
        <w:rPr>
          <w:sz w:val="20"/>
          <w:szCs w:val="20"/>
        </w:rPr>
        <w:t xml:space="preserve">              Iepirkumu komisijas sēdē </w:t>
      </w:r>
    </w:p>
    <w:p w:rsidR="00D211F5" w:rsidRPr="00AC4521" w:rsidRDefault="0026447F" w:rsidP="00D211F5">
      <w:pPr>
        <w:ind w:right="659"/>
        <w:jc w:val="right"/>
        <w:rPr>
          <w:sz w:val="20"/>
          <w:szCs w:val="20"/>
        </w:rPr>
      </w:pPr>
      <w:r>
        <w:rPr>
          <w:sz w:val="20"/>
          <w:szCs w:val="20"/>
        </w:rPr>
        <w:t xml:space="preserve"> (protokols Nr.4</w:t>
      </w:r>
      <w:r w:rsidR="00D211F5" w:rsidRPr="00AC4521">
        <w:rPr>
          <w:sz w:val="20"/>
          <w:szCs w:val="20"/>
        </w:rPr>
        <w:t>)</w:t>
      </w:r>
    </w:p>
    <w:p w:rsidR="00D211F5" w:rsidRPr="00AC4521" w:rsidRDefault="00D211F5" w:rsidP="00D211F5">
      <w:pPr>
        <w:rPr>
          <w:sz w:val="20"/>
          <w:szCs w:val="20"/>
        </w:rPr>
      </w:pPr>
    </w:p>
    <w:p w:rsidR="00D211F5" w:rsidRPr="00BB5053" w:rsidRDefault="00D211F5" w:rsidP="00D211F5">
      <w:pPr>
        <w:tabs>
          <w:tab w:val="left" w:pos="426"/>
        </w:tabs>
        <w:jc w:val="both"/>
        <w:rPr>
          <w:sz w:val="22"/>
          <w:szCs w:val="22"/>
        </w:rPr>
      </w:pPr>
    </w:p>
    <w:p w:rsidR="00D211F5" w:rsidRPr="00BB5053" w:rsidRDefault="00D211F5" w:rsidP="00D211F5">
      <w:pPr>
        <w:tabs>
          <w:tab w:val="left" w:pos="426"/>
        </w:tabs>
        <w:jc w:val="both"/>
        <w:rPr>
          <w:sz w:val="22"/>
          <w:szCs w:val="22"/>
        </w:rPr>
      </w:pPr>
      <w:r w:rsidRPr="00BB5053">
        <w:rPr>
          <w:sz w:val="22"/>
          <w:szCs w:val="22"/>
        </w:rPr>
        <w:t xml:space="preserve">Šis dokuments ir neatņemama atklātā konkursa „Sešu ielu pārbūve un divu ielu izbūve </w:t>
      </w:r>
      <w:r w:rsidRPr="00BB5053">
        <w:rPr>
          <w:iCs/>
          <w:sz w:val="22"/>
          <w:szCs w:val="22"/>
        </w:rPr>
        <w:t>Saulkrastu novadā</w:t>
      </w:r>
      <w:r w:rsidRPr="00BB5053">
        <w:rPr>
          <w:sz w:val="22"/>
          <w:szCs w:val="22"/>
        </w:rPr>
        <w:t xml:space="preserve">” ar ID </w:t>
      </w:r>
      <w:proofErr w:type="spellStart"/>
      <w:r w:rsidRPr="00BB5053">
        <w:rPr>
          <w:sz w:val="22"/>
          <w:szCs w:val="22"/>
        </w:rPr>
        <w:t>Nr.SND</w:t>
      </w:r>
      <w:proofErr w:type="spellEnd"/>
      <w:r w:rsidRPr="00BB5053">
        <w:rPr>
          <w:sz w:val="22"/>
          <w:szCs w:val="22"/>
        </w:rPr>
        <w:t xml:space="preserve"> 2018/1/ERAF nolikuma sastāvdaļa un jāņem vērā un attiecas uz visiem pretendentiem, kas iesniedz piedāvājumu.</w:t>
      </w:r>
    </w:p>
    <w:p w:rsidR="006D1956" w:rsidRDefault="006D1956" w:rsidP="00770320">
      <w:pPr>
        <w:ind w:right="-874"/>
        <w:jc w:val="both"/>
        <w:rPr>
          <w:b/>
          <w:i/>
          <w:iCs/>
          <w:sz w:val="22"/>
          <w:szCs w:val="22"/>
        </w:rPr>
      </w:pPr>
    </w:p>
    <w:p w:rsidR="006D1956" w:rsidRDefault="006D1956" w:rsidP="00770320">
      <w:pPr>
        <w:ind w:right="-874"/>
        <w:jc w:val="both"/>
        <w:rPr>
          <w:b/>
          <w:i/>
          <w:iCs/>
          <w:sz w:val="22"/>
          <w:szCs w:val="22"/>
        </w:rPr>
      </w:pPr>
    </w:p>
    <w:p w:rsidR="00770320" w:rsidRDefault="00770320" w:rsidP="00770320">
      <w:pPr>
        <w:ind w:right="-874"/>
        <w:jc w:val="both"/>
        <w:rPr>
          <w:b/>
          <w:i/>
          <w:iCs/>
          <w:sz w:val="22"/>
          <w:szCs w:val="22"/>
        </w:rPr>
      </w:pPr>
      <w:r>
        <w:rPr>
          <w:b/>
          <w:i/>
          <w:iCs/>
          <w:sz w:val="22"/>
          <w:szCs w:val="22"/>
        </w:rPr>
        <w:t xml:space="preserve">Komisija sniedz šādus skaidrojumus </w:t>
      </w:r>
      <w:r w:rsidR="006D1956">
        <w:rPr>
          <w:b/>
          <w:i/>
          <w:iCs/>
          <w:sz w:val="22"/>
          <w:szCs w:val="22"/>
        </w:rPr>
        <w:t>un veic grozījumus atklātā konkursa nolikumā:</w:t>
      </w:r>
    </w:p>
    <w:p w:rsidR="006D1956" w:rsidRDefault="006D1956" w:rsidP="006D1956">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26447F" w:rsidRPr="00571F3D" w:rsidTr="00BF5828">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26447F" w:rsidRDefault="0026447F" w:rsidP="00BF5828">
            <w:pPr>
              <w:pStyle w:val="naisf"/>
              <w:spacing w:before="0" w:beforeAutospacing="0" w:after="0" w:afterAutospacing="0" w:line="276" w:lineRule="auto"/>
              <w:rPr>
                <w:sz w:val="12"/>
                <w:szCs w:val="12"/>
                <w:lang w:eastAsia="lv-LV"/>
              </w:rPr>
            </w:pPr>
          </w:p>
        </w:tc>
      </w:tr>
      <w:tr w:rsidR="0026447F" w:rsidRPr="00571F3D" w:rsidTr="00BF5828">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26447F" w:rsidRPr="0026447F" w:rsidRDefault="0026447F" w:rsidP="00BF5828">
            <w:pPr>
              <w:pStyle w:val="NoSpacing"/>
              <w:spacing w:before="40" w:after="40" w:line="276" w:lineRule="auto"/>
              <w:rPr>
                <w:b/>
                <w:lang w:eastAsia="en-US"/>
              </w:rPr>
            </w:pPr>
            <w:r w:rsidRPr="0026447F">
              <w:rPr>
                <w:b/>
              </w:rPr>
              <w:t>1.jautājums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rPr>
                <w:sz w:val="22"/>
                <w:szCs w:val="22"/>
              </w:rPr>
            </w:pPr>
            <w:r w:rsidRPr="0026447F">
              <w:rPr>
                <w:sz w:val="22"/>
                <w:szCs w:val="22"/>
              </w:rPr>
              <w:t>Iepirkuma nolikuma punkts 40.3. nosaka, ka “Finanšu piedāvājums jānoformē atbilstoši Nolikuma 4. pielikumam, ņemot vērā tehnisko specifikāciju (2. pielikums).”</w:t>
            </w:r>
          </w:p>
          <w:p w:rsidR="0026447F" w:rsidRPr="0026447F" w:rsidRDefault="0026447F" w:rsidP="00BF5828">
            <w:pPr>
              <w:rPr>
                <w:sz w:val="22"/>
                <w:szCs w:val="22"/>
              </w:rPr>
            </w:pPr>
            <w:r w:rsidRPr="0026447F">
              <w:rPr>
                <w:sz w:val="22"/>
                <w:szCs w:val="22"/>
              </w:rPr>
              <w:t>Nolikuma 4. pielikumā noteikts: “Tāmes:  1. Finanšu piedāvājuma tāmes skatīties pievienotajos Excel failos. Pretendentam jāiesniedz aizpildīta pievienotās tāmes forma.”</w:t>
            </w:r>
          </w:p>
          <w:p w:rsidR="0026447F" w:rsidRPr="0026447F" w:rsidRDefault="0026447F" w:rsidP="00BF5828">
            <w:pPr>
              <w:rPr>
                <w:sz w:val="22"/>
                <w:szCs w:val="22"/>
              </w:rPr>
            </w:pPr>
            <w:r w:rsidRPr="0026447F">
              <w:rPr>
                <w:sz w:val="22"/>
                <w:szCs w:val="22"/>
              </w:rPr>
              <w:t>Tajā pašā laikā  Nolikuma punkts 40.6. “Lokālas tāmes, kopsavilkums un koptāmes, kas izstrādātas, atbilstoši darbu apjomiem, atbilstoši Ministru kabineta 2017. gada 3. maija noteikumiem Nr. 239 “Noteikumi par Latvijas būvnormatīvu LBN 501-17 "</w:t>
            </w:r>
            <w:proofErr w:type="spellStart"/>
            <w:r w:rsidRPr="0026447F">
              <w:rPr>
                <w:sz w:val="22"/>
                <w:szCs w:val="22"/>
              </w:rPr>
              <w:t>Būvizmaksu</w:t>
            </w:r>
            <w:proofErr w:type="spellEnd"/>
            <w:r w:rsidRPr="0026447F">
              <w:rPr>
                <w:sz w:val="22"/>
                <w:szCs w:val="22"/>
              </w:rPr>
              <w:t xml:space="preserve"> noteikšanas kartība"””</w:t>
            </w:r>
          </w:p>
          <w:p w:rsidR="0026447F" w:rsidRPr="0026447F" w:rsidRDefault="0026447F" w:rsidP="00BF5828">
            <w:pPr>
              <w:rPr>
                <w:sz w:val="22"/>
                <w:szCs w:val="22"/>
              </w:rPr>
            </w:pPr>
            <w:r w:rsidRPr="0026447F">
              <w:rPr>
                <w:sz w:val="22"/>
                <w:szCs w:val="22"/>
              </w:rPr>
              <w:t>Vēršam uzmanību, ka Pasūtītāja pievienotās tāmes neatbilst Ministru kabineta 2017. gada 3. maija noteikumiem Nr. 239 “Noteikumi par Latvijas būvnormatīvu LBN 501-17 "</w:t>
            </w:r>
            <w:proofErr w:type="spellStart"/>
            <w:r w:rsidRPr="0026447F">
              <w:rPr>
                <w:sz w:val="22"/>
                <w:szCs w:val="22"/>
              </w:rPr>
              <w:t>Būvizmaksu</w:t>
            </w:r>
            <w:proofErr w:type="spellEnd"/>
            <w:r w:rsidRPr="0026447F">
              <w:rPr>
                <w:sz w:val="22"/>
                <w:szCs w:val="22"/>
              </w:rPr>
              <w:t xml:space="preserve"> noteikšanas kārtība"”!</w:t>
            </w:r>
          </w:p>
          <w:p w:rsidR="0026447F" w:rsidRPr="0026447F" w:rsidRDefault="0026447F" w:rsidP="00BF5828">
            <w:pPr>
              <w:rPr>
                <w:sz w:val="22"/>
                <w:szCs w:val="22"/>
              </w:rPr>
            </w:pPr>
            <w:r w:rsidRPr="0026447F">
              <w:rPr>
                <w:sz w:val="22"/>
                <w:szCs w:val="22"/>
              </w:rPr>
              <w:t>Lūdzam apstiprināt, ka tāmes jāsagatavo atbilstoši Ministru kabineta 2017. gada 3. maija noteikumiem Nr. 239 “Noteikumi par Latvijas būvnormatīvu LBN 501-17 "</w:t>
            </w:r>
            <w:proofErr w:type="spellStart"/>
            <w:r w:rsidRPr="0026447F">
              <w:rPr>
                <w:sz w:val="22"/>
                <w:szCs w:val="22"/>
              </w:rPr>
              <w:t>Būvizmaksu</w:t>
            </w:r>
            <w:proofErr w:type="spellEnd"/>
            <w:r w:rsidRPr="0026447F">
              <w:rPr>
                <w:sz w:val="22"/>
                <w:szCs w:val="22"/>
              </w:rPr>
              <w:t xml:space="preserve"> noteikšanas kārtība"” izmantojot Nolikuma 11. pielikumā pievienotos darbu apjomus!</w:t>
            </w:r>
          </w:p>
          <w:p w:rsidR="0026447F" w:rsidRPr="0026447F" w:rsidRDefault="0026447F" w:rsidP="00BF5828">
            <w:pPr>
              <w:jc w:val="both"/>
              <w:rPr>
                <w:sz w:val="22"/>
                <w:szCs w:val="22"/>
              </w:rPr>
            </w:pPr>
            <w:r w:rsidRPr="0026447F">
              <w:rPr>
                <w:color w:val="000000"/>
                <w:sz w:val="22"/>
                <w:szCs w:val="22"/>
              </w:rPr>
              <w:t xml:space="preserve">  </w:t>
            </w:r>
          </w:p>
        </w:tc>
      </w:tr>
      <w:tr w:rsidR="0026447F" w:rsidRPr="00571F3D" w:rsidTr="00BF5828">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26447F" w:rsidRPr="0026447F" w:rsidRDefault="0026447F" w:rsidP="00BF5828">
            <w:pPr>
              <w:pStyle w:val="NoSpacing"/>
              <w:spacing w:before="40" w:after="40" w:line="276" w:lineRule="auto"/>
              <w:rPr>
                <w:b/>
                <w:lang w:eastAsia="en-US"/>
              </w:rPr>
            </w:pPr>
            <w:r w:rsidRPr="0026447F">
              <w:rPr>
                <w:b/>
              </w:rPr>
              <w:t>Skaidrojums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BodyText"/>
              <w:suppressAutoHyphens/>
              <w:spacing w:before="60" w:after="60"/>
              <w:jc w:val="both"/>
              <w:rPr>
                <w:sz w:val="22"/>
                <w:szCs w:val="22"/>
              </w:rPr>
            </w:pPr>
            <w:r w:rsidRPr="0026447F">
              <w:rPr>
                <w:color w:val="000000"/>
                <w:sz w:val="22"/>
                <w:szCs w:val="22"/>
              </w:rPr>
              <w:t>Pasūtītājs apstiprina, ka tāmes sagatavojamas un iesniedzamas atbilstoši Ministru kabineta 2017. gada 3. maija noteikumiem Nr. 239 “</w:t>
            </w:r>
            <w:r w:rsidRPr="0026447F">
              <w:rPr>
                <w:sz w:val="22"/>
                <w:szCs w:val="22"/>
              </w:rPr>
              <w:t>Noteikumi par Latvijas būvnormatīvu LBN 501-17 „</w:t>
            </w:r>
            <w:proofErr w:type="spellStart"/>
            <w:r w:rsidRPr="0026447F">
              <w:rPr>
                <w:sz w:val="22"/>
                <w:szCs w:val="22"/>
              </w:rPr>
              <w:t>Būvizmaksu</w:t>
            </w:r>
            <w:proofErr w:type="spellEnd"/>
            <w:r w:rsidRPr="0026447F">
              <w:rPr>
                <w:sz w:val="22"/>
                <w:szCs w:val="22"/>
              </w:rPr>
              <w:t xml:space="preserve"> noteikšanas kārtība”.</w:t>
            </w:r>
            <w:proofErr w:type="gramStart"/>
            <w:r w:rsidRPr="0026447F">
              <w:rPr>
                <w:sz w:val="22"/>
                <w:szCs w:val="22"/>
              </w:rPr>
              <w:t xml:space="preserve">  </w:t>
            </w:r>
            <w:proofErr w:type="gramEnd"/>
            <w:r w:rsidRPr="0026447F">
              <w:rPr>
                <w:sz w:val="22"/>
                <w:szCs w:val="22"/>
              </w:rPr>
              <w:fldChar w:fldCharType="begin"/>
            </w:r>
            <w:r w:rsidRPr="0026447F">
              <w:rPr>
                <w:sz w:val="22"/>
                <w:szCs w:val="22"/>
              </w:rPr>
              <w:instrText xml:space="preserve"> HYPERLINK "https://likumi.lv/ta/id/291029-noteikumi-par-latvijas-buvnormativu-lbn-501-17-buvizmaksu-noteiksanas-kartiba-" </w:instrText>
            </w:r>
            <w:r w:rsidRPr="0026447F">
              <w:rPr>
                <w:sz w:val="22"/>
                <w:szCs w:val="22"/>
              </w:rPr>
              <w:fldChar w:fldCharType="separate"/>
            </w:r>
            <w:r w:rsidRPr="0026447F">
              <w:rPr>
                <w:rStyle w:val="Hyperlink"/>
                <w:sz w:val="22"/>
                <w:szCs w:val="22"/>
              </w:rPr>
              <w:t>https://likumi.lv/ta/id/291029-noteikumi-par-latvijas-buvnormativu-lbn-501-17-buvizmaksu-noteiksanas-kartiba-</w:t>
            </w:r>
            <w:r w:rsidRPr="0026447F">
              <w:rPr>
                <w:sz w:val="22"/>
                <w:szCs w:val="22"/>
              </w:rPr>
              <w:fldChar w:fldCharType="end"/>
            </w:r>
          </w:p>
        </w:tc>
      </w:tr>
      <w:tr w:rsidR="0026447F" w:rsidRPr="00571F3D" w:rsidTr="00BB5053">
        <w:trPr>
          <w:trHeight w:val="1654"/>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lang w:eastAsia="en-US"/>
              </w:rPr>
            </w:pPr>
            <w:r w:rsidRPr="0026447F">
              <w:rPr>
                <w:b/>
              </w:rPr>
              <w:t>2.jautājums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jc w:val="both"/>
              <w:rPr>
                <w:sz w:val="22"/>
                <w:szCs w:val="22"/>
              </w:rPr>
            </w:pPr>
            <w:r w:rsidRPr="0026447F">
              <w:rPr>
                <w:sz w:val="22"/>
                <w:szCs w:val="22"/>
              </w:rPr>
              <w:t>Lūdzam apstiprināt, ka Nolikuma 19. punktā norādītais Būvdarbu pabeigšanas termiņš ir laiks no Būvdarbu uzsākšanas laika līdz darbu pabeigšanas akta parakstīšanai un tajā neietilpst Termiņš apliecinājuma par būves vai tās daļas gatavību nodošanai ekspluatācijā un saistītās dokumentācijas sagatavošanai un nodošanai Pasūtītājam (1 mēnesis) un Termiņš objekta nodošanai ekspluatācijā (1 mēnesis)!</w:t>
            </w:r>
          </w:p>
          <w:p w:rsidR="0026447F" w:rsidRPr="0026447F" w:rsidRDefault="0026447F" w:rsidP="00BF5828">
            <w:pPr>
              <w:pStyle w:val="ListParagraph"/>
              <w:spacing w:after="160" w:line="252" w:lineRule="auto"/>
              <w:ind w:left="0"/>
              <w:jc w:val="both"/>
              <w:rPr>
                <w:color w:val="auto"/>
                <w:sz w:val="22"/>
                <w:szCs w:val="22"/>
              </w:rPr>
            </w:pPr>
            <w:bookmarkStart w:id="0" w:name="_GoBack"/>
            <w:bookmarkEnd w:id="0"/>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lang w:eastAsia="en-US"/>
              </w:rPr>
            </w:pPr>
            <w:r w:rsidRPr="0026447F">
              <w:rPr>
                <w:b/>
              </w:rPr>
              <w:t xml:space="preserve"> Skaidrojums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jc w:val="both"/>
              <w:rPr>
                <w:sz w:val="22"/>
                <w:szCs w:val="22"/>
              </w:rPr>
            </w:pPr>
            <w:r w:rsidRPr="0026447F">
              <w:rPr>
                <w:kern w:val="1"/>
                <w:sz w:val="22"/>
                <w:szCs w:val="22"/>
                <w:lang w:eastAsia="hi-IN" w:bidi="hi-IN"/>
              </w:rPr>
              <w:t xml:space="preserve"> Pasūtītājs apstiprina, ka Nolikuma 2.pielikumā „Tehniskā specifikācija” 19.punktā </w:t>
            </w:r>
            <w:r w:rsidRPr="0026447F">
              <w:rPr>
                <w:sz w:val="22"/>
                <w:szCs w:val="22"/>
              </w:rPr>
              <w:t>norādītais Būvdarbu pabeigšanas termiņš ir laiks no Būvdarbu uzsākšanas laika līdz darbu pabeigšanas akta parakstīšanai un tajā neietilpst termiņš apliecinājuma par būves vai tās daļas gatavību nodošanai ekspluatācijā un saistītās dokumentācijas sagatavošanai un nodošanai Pasūtītājam (1 mēnesis) un Termiņš objekta nodošanai ekspluatācijā (1 mēnesis). Papildus skatīt Līguma projekta 3.2.1.- 3.2.</w:t>
            </w:r>
            <w:proofErr w:type="gramStart"/>
            <w:r w:rsidRPr="0026447F">
              <w:rPr>
                <w:sz w:val="22"/>
                <w:szCs w:val="22"/>
              </w:rPr>
              <w:t>7.apakšpunktus</w:t>
            </w:r>
            <w:proofErr w:type="gramEnd"/>
            <w:r w:rsidRPr="0026447F">
              <w:rPr>
                <w:sz w:val="22"/>
                <w:szCs w:val="22"/>
              </w:rPr>
              <w:t>.</w:t>
            </w:r>
          </w:p>
          <w:p w:rsidR="0026447F" w:rsidRPr="0026447F" w:rsidRDefault="0026447F" w:rsidP="00BF5828">
            <w:pPr>
              <w:jc w:val="both"/>
              <w:rPr>
                <w:b/>
                <w:sz w:val="22"/>
                <w:szCs w:val="22"/>
                <w:lang w:eastAsia="en-US"/>
              </w:rPr>
            </w:pP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rPr>
            </w:pPr>
            <w:r w:rsidRPr="0026447F">
              <w:rPr>
                <w:b/>
              </w:rPr>
              <w:lastRenderedPageBreak/>
              <w:t>3.jautājums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BodyText2"/>
              <w:shd w:val="clear" w:color="auto" w:fill="auto"/>
              <w:spacing w:before="0" w:after="0"/>
              <w:ind w:left="20" w:firstLine="0"/>
              <w:jc w:val="both"/>
              <w:rPr>
                <w:sz w:val="22"/>
                <w:szCs w:val="22"/>
              </w:rPr>
            </w:pPr>
            <w:r w:rsidRPr="0026447F">
              <w:rPr>
                <w:sz w:val="22"/>
                <w:szCs w:val="22"/>
              </w:rPr>
              <w:t>Par atbildīgā būvdarbu vadītāja pieredzi</w:t>
            </w:r>
          </w:p>
          <w:p w:rsidR="0026447F" w:rsidRPr="0026447F" w:rsidRDefault="0026447F" w:rsidP="00BF5828">
            <w:pPr>
              <w:pStyle w:val="BodyText2"/>
              <w:shd w:val="clear" w:color="auto" w:fill="auto"/>
              <w:spacing w:before="0" w:after="212"/>
              <w:ind w:left="20" w:right="600" w:firstLine="0"/>
              <w:jc w:val="both"/>
            </w:pPr>
            <w:r w:rsidRPr="0026447F">
              <w:rPr>
                <w:sz w:val="22"/>
                <w:szCs w:val="22"/>
              </w:rPr>
              <w:t>Lūdzam Pasūtītāju apstiprināt, ka Konkursa nolikuma 19.3.1.punkta izpratnē ar līdzvērtīgiem būvdarbiem, kas vadīti Objektā, saprotami šajā prasībā norādītie būvdarbi šajā prasībā noteiktajā apjomā.</w:t>
            </w: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rPr>
            </w:pPr>
            <w:r w:rsidRPr="0026447F">
              <w:rPr>
                <w:b/>
              </w:rPr>
              <w:t>Skaidrojums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jc w:val="both"/>
              <w:rPr>
                <w:sz w:val="22"/>
                <w:szCs w:val="22"/>
                <w:lang w:eastAsia="en-US"/>
              </w:rPr>
            </w:pPr>
            <w:r w:rsidRPr="0026447F">
              <w:rPr>
                <w:sz w:val="22"/>
                <w:szCs w:val="22"/>
                <w:lang w:eastAsia="en-US"/>
              </w:rPr>
              <w:t xml:space="preserve">Pasūtītājs paskaidro, ka 19.3.1.punkta izpratnē </w:t>
            </w:r>
            <w:r w:rsidRPr="0026447F">
              <w:rPr>
                <w:sz w:val="22"/>
                <w:szCs w:val="22"/>
              </w:rPr>
              <w:t>atbildīgā būvdarbu vadītāja</w:t>
            </w:r>
            <w:r w:rsidRPr="0026447F">
              <w:rPr>
                <w:b/>
                <w:sz w:val="22"/>
                <w:szCs w:val="22"/>
              </w:rPr>
              <w:t xml:space="preserve"> </w:t>
            </w:r>
            <w:r w:rsidRPr="0026447F">
              <w:rPr>
                <w:sz w:val="22"/>
                <w:szCs w:val="22"/>
                <w:lang w:eastAsia="en-US"/>
              </w:rPr>
              <w:t xml:space="preserve">līdzvērtīga pieredze ir, ja </w:t>
            </w:r>
            <w:r w:rsidRPr="0026447F">
              <w:rPr>
                <w:kern w:val="1"/>
                <w:sz w:val="22"/>
                <w:szCs w:val="22"/>
                <w:lang w:eastAsia="hi-IN" w:bidi="hi-IN"/>
              </w:rPr>
              <w:t>pretendenta piedāvātajam atbildīgajam būvdarbu vadītājam iepriekšējo 5 (piecu) gadu laikā (2013., 2014., 2015., 2016.</w:t>
            </w:r>
            <w:r w:rsidRPr="0026447F">
              <w:rPr>
                <w:sz w:val="22"/>
                <w:szCs w:val="22"/>
              </w:rPr>
              <w:t>, 2017.) ir pieredze</w:t>
            </w:r>
            <w:r w:rsidRPr="0026447F">
              <w:rPr>
                <w:i/>
                <w:kern w:val="1"/>
                <w:sz w:val="22"/>
                <w:szCs w:val="22"/>
                <w:lang w:eastAsia="hi-IN" w:bidi="hi-IN"/>
              </w:rPr>
              <w:t xml:space="preserve"> </w:t>
            </w:r>
            <w:r w:rsidRPr="0026447F">
              <w:rPr>
                <w:kern w:val="1"/>
                <w:sz w:val="22"/>
                <w:szCs w:val="22"/>
                <w:lang w:eastAsia="hi-IN" w:bidi="hi-IN"/>
              </w:rPr>
              <w:t>kā</w:t>
            </w:r>
            <w:proofErr w:type="gramStart"/>
            <w:r w:rsidRPr="0026447F">
              <w:rPr>
                <w:kern w:val="1"/>
                <w:sz w:val="22"/>
                <w:szCs w:val="22"/>
                <w:lang w:eastAsia="hi-IN" w:bidi="hi-IN"/>
              </w:rPr>
              <w:t xml:space="preserve">  </w:t>
            </w:r>
            <w:proofErr w:type="gramEnd"/>
            <w:r w:rsidRPr="0026447F">
              <w:rPr>
                <w:kern w:val="1"/>
                <w:sz w:val="22"/>
                <w:szCs w:val="22"/>
                <w:lang w:eastAsia="hi-IN" w:bidi="hi-IN"/>
              </w:rPr>
              <w:t xml:space="preserve">atbildīgajam būvdarbu vadītājam </w:t>
            </w:r>
            <w:r w:rsidRPr="0026447F">
              <w:rPr>
                <w:b/>
                <w:kern w:val="1"/>
                <w:sz w:val="22"/>
                <w:szCs w:val="22"/>
                <w:lang w:eastAsia="hi-IN" w:bidi="hi-IN"/>
              </w:rPr>
              <w:t>vismaz 2 (divu) līdzvērtīgu būvdarbu Objektu vadīšanā</w:t>
            </w:r>
            <w:r w:rsidRPr="0026447F">
              <w:rPr>
                <w:kern w:val="1"/>
                <w:sz w:val="22"/>
                <w:szCs w:val="22"/>
                <w:lang w:eastAsia="hi-IN" w:bidi="hi-IN"/>
              </w:rPr>
              <w:t xml:space="preserve">, kur </w:t>
            </w:r>
            <w:r w:rsidRPr="0026447F">
              <w:rPr>
                <w:b/>
                <w:sz w:val="22"/>
                <w:szCs w:val="22"/>
                <w:u w:val="single"/>
              </w:rPr>
              <w:t>viena</w:t>
            </w:r>
            <w:r w:rsidRPr="0026447F">
              <w:rPr>
                <w:sz w:val="22"/>
                <w:szCs w:val="22"/>
              </w:rPr>
              <w:t xml:space="preserve"> Objekta ietvaros veikti ielu, ceļu vai laukumu izbūves vai pārbūves darbi ar asfaltbetona segumu vismaz 6000 m</w:t>
            </w:r>
            <w:r w:rsidRPr="0026447F">
              <w:rPr>
                <w:sz w:val="22"/>
                <w:szCs w:val="22"/>
                <w:vertAlign w:val="superscript"/>
              </w:rPr>
              <w:t>2</w:t>
            </w:r>
            <w:r w:rsidRPr="0026447F">
              <w:rPr>
                <w:sz w:val="22"/>
                <w:szCs w:val="22"/>
              </w:rPr>
              <w:t xml:space="preserve"> platībā un </w:t>
            </w:r>
            <w:r w:rsidRPr="0026447F">
              <w:rPr>
                <w:b/>
                <w:sz w:val="22"/>
                <w:szCs w:val="22"/>
                <w:u w:val="single"/>
              </w:rPr>
              <w:t xml:space="preserve">otra </w:t>
            </w:r>
            <w:r w:rsidRPr="0026447F">
              <w:rPr>
                <w:sz w:val="22"/>
                <w:szCs w:val="22"/>
              </w:rPr>
              <w:t>Objekta ietvaros veikti ielu, ceļu vai laukumu izbūves vai pārbūves darbi ar betona bruģakmens segumu vismaz 2000 m</w:t>
            </w:r>
            <w:r w:rsidRPr="0026447F">
              <w:rPr>
                <w:sz w:val="22"/>
                <w:szCs w:val="22"/>
                <w:vertAlign w:val="superscript"/>
              </w:rPr>
              <w:t>2</w:t>
            </w:r>
            <w:r w:rsidRPr="0026447F">
              <w:rPr>
                <w:sz w:val="22"/>
                <w:szCs w:val="22"/>
              </w:rPr>
              <w:t xml:space="preserve"> platībā. Objektiem ir jābūt nodotiem ekspluatācijā.</w:t>
            </w:r>
            <w:r w:rsidRPr="0026447F">
              <w:rPr>
                <w:bCs/>
                <w:sz w:val="22"/>
                <w:szCs w:val="22"/>
              </w:rPr>
              <w:t xml:space="preserve"> </w:t>
            </w:r>
          </w:p>
          <w:p w:rsidR="0026447F" w:rsidRPr="0026447F" w:rsidRDefault="0026447F" w:rsidP="00BF5828">
            <w:pPr>
              <w:jc w:val="both"/>
              <w:rPr>
                <w:sz w:val="22"/>
                <w:szCs w:val="22"/>
                <w:lang w:eastAsia="en-US"/>
              </w:rPr>
            </w:pPr>
          </w:p>
        </w:tc>
      </w:tr>
      <w:tr w:rsidR="0026447F" w:rsidRPr="00571F3D" w:rsidTr="00BF5828">
        <w:trPr>
          <w:trHeight w:val="6964"/>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rPr>
            </w:pPr>
            <w:r w:rsidRPr="0026447F">
              <w:rPr>
                <w:b/>
              </w:rPr>
              <w:t>4.jautājums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BodyText2"/>
              <w:shd w:val="clear" w:color="auto" w:fill="auto"/>
              <w:spacing w:before="0" w:after="0" w:line="210" w:lineRule="exact"/>
              <w:ind w:left="20" w:firstLine="0"/>
              <w:jc w:val="both"/>
              <w:rPr>
                <w:sz w:val="22"/>
                <w:szCs w:val="22"/>
              </w:rPr>
            </w:pPr>
            <w:r w:rsidRPr="0026447F">
              <w:rPr>
                <w:sz w:val="22"/>
                <w:szCs w:val="22"/>
              </w:rPr>
              <w:t>Par smagiem profesionālās darbības pārkāpumiem</w:t>
            </w:r>
          </w:p>
          <w:p w:rsidR="0026447F" w:rsidRPr="0026447F" w:rsidRDefault="0026447F" w:rsidP="00BF5828">
            <w:pPr>
              <w:pStyle w:val="BodyText2"/>
              <w:shd w:val="clear" w:color="auto" w:fill="auto"/>
              <w:spacing w:before="0" w:after="188" w:line="259" w:lineRule="exact"/>
              <w:ind w:left="20" w:right="600" w:firstLine="0"/>
              <w:jc w:val="both"/>
              <w:rPr>
                <w:sz w:val="22"/>
                <w:szCs w:val="22"/>
              </w:rPr>
            </w:pPr>
            <w:r w:rsidRPr="0026447F">
              <w:rPr>
                <w:sz w:val="22"/>
                <w:szCs w:val="22"/>
              </w:rPr>
              <w:t>Saskaņā ar Konkursa nolikuma 25.punktu pretendentu izslēgšanas gadījumus reglamentē Publisko iepirkumu likuma 42. panta pirmā un otrā daļa, kas vienlīdz saistoša visiem pretendentiem.</w:t>
            </w:r>
          </w:p>
          <w:p w:rsidR="0026447F" w:rsidRPr="0026447F" w:rsidRDefault="0026447F" w:rsidP="00BF5828">
            <w:pPr>
              <w:pStyle w:val="BodyText2"/>
              <w:shd w:val="clear" w:color="auto" w:fill="auto"/>
              <w:spacing w:before="0" w:after="184"/>
              <w:ind w:left="20" w:right="600" w:firstLine="0"/>
              <w:jc w:val="both"/>
              <w:rPr>
                <w:sz w:val="22"/>
                <w:szCs w:val="22"/>
              </w:rPr>
            </w:pPr>
            <w:r w:rsidRPr="0026447F">
              <w:rPr>
                <w:sz w:val="22"/>
                <w:szCs w:val="22"/>
              </w:rPr>
              <w:t>No minētā izriet, ka Pasūtītājs Konkursā ir paredzējis piemērot arī Publisko iepirkumu likuma 42.panta otrajā daļā minētos izslēgšanas nosacījumus, tostarp šīs daļas 2.punktā noteiktos, proti, pretendents ir izdarījis smagu profesionālās darbības pārkāpumu, 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rsidR="0026447F" w:rsidRPr="0026447F" w:rsidRDefault="0026447F" w:rsidP="00BF5828">
            <w:pPr>
              <w:pStyle w:val="BodyText2"/>
              <w:shd w:val="clear" w:color="auto" w:fill="auto"/>
              <w:spacing w:before="0" w:after="176" w:line="245" w:lineRule="exact"/>
              <w:ind w:left="20" w:right="600" w:firstLine="0"/>
              <w:jc w:val="both"/>
              <w:rPr>
                <w:sz w:val="22"/>
                <w:szCs w:val="22"/>
              </w:rPr>
            </w:pPr>
            <w:r w:rsidRPr="0026447F">
              <w:rPr>
                <w:sz w:val="22"/>
                <w:szCs w:val="22"/>
              </w:rPr>
              <w:t>Saskaņā ar Ministru kabineta 2017.gada 28.februāra noteikumu Nr.107 “Iepirkuma procedūru un metu konkursu norises kārtība” (turpmāk - Noteikumi) 2.13.punktu, ja pasūtītājs paredz izslēgt pretendentus par smagiem profesionālās darbības pārkāpumiem, tas norāda tos Ministru kabineta noteiktos smagos profesionālās darbības pārkāpumus, par kuriem paredzēta pretendentu izslēgšana.</w:t>
            </w:r>
          </w:p>
          <w:p w:rsidR="0026447F" w:rsidRPr="0026447F" w:rsidRDefault="0026447F" w:rsidP="00BF5828">
            <w:pPr>
              <w:pStyle w:val="BodyText2"/>
              <w:shd w:val="clear" w:color="auto" w:fill="auto"/>
              <w:spacing w:before="0" w:after="212"/>
              <w:ind w:left="20" w:right="600" w:firstLine="0"/>
              <w:jc w:val="both"/>
              <w:rPr>
                <w:sz w:val="22"/>
                <w:szCs w:val="22"/>
              </w:rPr>
            </w:pPr>
            <w:r w:rsidRPr="0026447F">
              <w:rPr>
                <w:sz w:val="22"/>
                <w:szCs w:val="22"/>
              </w:rPr>
              <w:t>Ja Pasūtītājs vēlas piemērot Publisko iepirkumu likuma 42.panta otrās daļas 2.apakšpunktā noteiktos izslēgšanas gadījumus, tad atbilstoši minētajam Noteikumu punktam atklāta konkursa nolikumā ir jānorāda konkrēti, par kuriem smagiem profesionālās darbības pārkāpumiem ir paredzēta pretendentu izslēgšana.</w:t>
            </w:r>
          </w:p>
          <w:p w:rsidR="0026447F" w:rsidRPr="0026447F" w:rsidRDefault="0026447F" w:rsidP="00BF5828">
            <w:pPr>
              <w:pStyle w:val="BodyText2"/>
              <w:shd w:val="clear" w:color="auto" w:fill="auto"/>
              <w:spacing w:before="0" w:after="738" w:line="210" w:lineRule="exact"/>
              <w:ind w:left="20" w:firstLine="0"/>
              <w:jc w:val="both"/>
            </w:pPr>
            <w:r w:rsidRPr="0026447F">
              <w:rPr>
                <w:sz w:val="22"/>
                <w:szCs w:val="22"/>
              </w:rPr>
              <w:t>Lūdzam Pasūtītāju papildināt Konkursa nolikuma 25.punktu atbilstoši Noteikumu 2.13.punkta prasībai.</w:t>
            </w: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color w:val="FF0000"/>
              </w:rPr>
            </w:pPr>
            <w:r w:rsidRPr="0026447F">
              <w:rPr>
                <w:b/>
                <w:color w:val="FF0000"/>
              </w:rPr>
              <w:t>Grozījums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ListParagraph"/>
              <w:widowControl w:val="0"/>
              <w:overflowPunct w:val="0"/>
              <w:autoSpaceDE w:val="0"/>
              <w:autoSpaceDN w:val="0"/>
              <w:adjustRightInd w:val="0"/>
              <w:spacing w:after="60"/>
              <w:ind w:left="0"/>
              <w:contextualSpacing w:val="0"/>
              <w:jc w:val="both"/>
              <w:rPr>
                <w:szCs w:val="24"/>
              </w:rPr>
            </w:pPr>
          </w:p>
          <w:p w:rsidR="0026447F" w:rsidRPr="0026447F" w:rsidRDefault="0026447F" w:rsidP="00BF5828">
            <w:pPr>
              <w:jc w:val="both"/>
              <w:rPr>
                <w:sz w:val="22"/>
                <w:szCs w:val="22"/>
                <w:lang w:eastAsia="en-US"/>
              </w:rPr>
            </w:pPr>
            <w:r w:rsidRPr="0026447F">
              <w:rPr>
                <w:sz w:val="22"/>
                <w:szCs w:val="22"/>
                <w:lang w:eastAsia="en-US"/>
              </w:rPr>
              <w:t>Papildināt nolikuma 25.punktu un izteikt šādā redakcijā:</w:t>
            </w:r>
            <w:proofErr w:type="gramStart"/>
            <w:r w:rsidRPr="0026447F">
              <w:rPr>
                <w:sz w:val="22"/>
                <w:szCs w:val="22"/>
                <w:lang w:eastAsia="en-US"/>
              </w:rPr>
              <w:t xml:space="preserve">  </w:t>
            </w:r>
            <w:proofErr w:type="gramEnd"/>
          </w:p>
          <w:p w:rsidR="0026447F" w:rsidRPr="0026447F" w:rsidRDefault="0026447F" w:rsidP="00BF5828">
            <w:pPr>
              <w:pStyle w:val="ListParagraph"/>
              <w:widowControl w:val="0"/>
              <w:overflowPunct w:val="0"/>
              <w:autoSpaceDE w:val="0"/>
              <w:autoSpaceDN w:val="0"/>
              <w:adjustRightInd w:val="0"/>
              <w:spacing w:after="60"/>
              <w:ind w:left="0"/>
              <w:contextualSpacing w:val="0"/>
              <w:jc w:val="both"/>
              <w:rPr>
                <w:color w:val="FF0000"/>
                <w:sz w:val="22"/>
                <w:szCs w:val="22"/>
              </w:rPr>
            </w:pPr>
            <w:r w:rsidRPr="0026447F">
              <w:rPr>
                <w:sz w:val="22"/>
                <w:szCs w:val="22"/>
                <w:lang w:eastAsia="lv-LV"/>
              </w:rPr>
              <w:t>Pretendentu izslēgšanas gadījumus reglamentē Publisko iepirkumu likuma 42. panta pirmā un otrā daļa, kas vienlīdz saistoša visiem pretendentiem. P</w:t>
            </w:r>
            <w:r w:rsidRPr="0026447F">
              <w:rPr>
                <w:sz w:val="22"/>
                <w:szCs w:val="22"/>
              </w:rPr>
              <w:t xml:space="preserve">retendentu izslēgšanas gadījumi tiks pārbaudīti </w:t>
            </w:r>
            <w:hyperlink r:id="rId7" w:tgtFrame="_blank" w:history="1">
              <w:r w:rsidRPr="0026447F">
                <w:rPr>
                  <w:sz w:val="22"/>
                  <w:szCs w:val="22"/>
                </w:rPr>
                <w:t>Publisko iepirkumu likuma</w:t>
              </w:r>
            </w:hyperlink>
            <w:r w:rsidRPr="0026447F">
              <w:rPr>
                <w:sz w:val="22"/>
                <w:szCs w:val="22"/>
              </w:rPr>
              <w:t xml:space="preserve"> </w:t>
            </w:r>
            <w:hyperlink r:id="rId8" w:anchor="p42" w:tgtFrame="_blank" w:history="1">
              <w:r w:rsidRPr="0026447F">
                <w:rPr>
                  <w:sz w:val="22"/>
                  <w:szCs w:val="22"/>
                </w:rPr>
                <w:t>42. pantā</w:t>
              </w:r>
            </w:hyperlink>
            <w:r w:rsidRPr="0026447F">
              <w:rPr>
                <w:sz w:val="22"/>
                <w:szCs w:val="22"/>
              </w:rPr>
              <w:t xml:space="preserve"> noteiktajā kārtībā. Ar normatīvo aktu var iepazīties </w:t>
            </w:r>
            <w:hyperlink r:id="rId9" w:history="1">
              <w:r w:rsidRPr="0026447F">
                <w:rPr>
                  <w:rStyle w:val="Hyperlink"/>
                  <w:sz w:val="22"/>
                  <w:szCs w:val="22"/>
                </w:rPr>
                <w:t>https://likumi.lv/doc.php?id=287760</w:t>
              </w:r>
            </w:hyperlink>
            <w:r w:rsidRPr="0026447F">
              <w:rPr>
                <w:sz w:val="22"/>
                <w:szCs w:val="22"/>
              </w:rPr>
              <w:t xml:space="preserve">. </w:t>
            </w:r>
            <w:r w:rsidRPr="0026447F">
              <w:rPr>
                <w:color w:val="FF0000"/>
                <w:sz w:val="22"/>
                <w:szCs w:val="22"/>
              </w:rPr>
              <w:t>Ņemot vērā iepirkuma priekšmetu, par smagiem profesionālās darbības pārkāpumiem tiek atzīts Latvijas Administratīvo pārkāpumu kodeksa 159.</w:t>
            </w:r>
            <w:r w:rsidRPr="0026447F">
              <w:rPr>
                <w:color w:val="FF0000"/>
                <w:sz w:val="22"/>
                <w:szCs w:val="22"/>
                <w:vertAlign w:val="superscript"/>
              </w:rPr>
              <w:t>10</w:t>
            </w:r>
            <w:r w:rsidRPr="0026447F">
              <w:rPr>
                <w:color w:val="FF0000"/>
                <w:sz w:val="22"/>
                <w:szCs w:val="22"/>
              </w:rPr>
              <w:t xml:space="preserve"> pantā noteiktais pārkāpums (Darba samaksas </w:t>
            </w:r>
            <w:r w:rsidRPr="0026447F">
              <w:rPr>
                <w:color w:val="FF0000"/>
                <w:sz w:val="22"/>
                <w:szCs w:val="22"/>
              </w:rPr>
              <w:lastRenderedPageBreak/>
              <w:t xml:space="preserve">noteikumu pārkāpšana). </w:t>
            </w:r>
          </w:p>
          <w:p w:rsidR="0026447F" w:rsidRPr="0026447F" w:rsidRDefault="0026447F" w:rsidP="00BF5828">
            <w:pPr>
              <w:jc w:val="both"/>
              <w:rPr>
                <w:sz w:val="22"/>
                <w:szCs w:val="22"/>
                <w:lang w:eastAsia="en-US"/>
              </w:rPr>
            </w:pPr>
          </w:p>
          <w:p w:rsidR="0026447F" w:rsidRPr="0026447F" w:rsidRDefault="0026447F" w:rsidP="00BF5828">
            <w:pPr>
              <w:jc w:val="both"/>
              <w:rPr>
                <w:sz w:val="22"/>
                <w:szCs w:val="22"/>
                <w:lang w:eastAsia="en-US"/>
              </w:rPr>
            </w:pPr>
            <w:r w:rsidRPr="0026447F">
              <w:rPr>
                <w:sz w:val="22"/>
                <w:szCs w:val="22"/>
                <w:lang w:eastAsia="en-US"/>
              </w:rPr>
              <w:t>Papildināt nolikuma 50.punktu un izteikt šādā redakcijā:</w:t>
            </w:r>
            <w:proofErr w:type="gramStart"/>
            <w:r w:rsidRPr="0026447F">
              <w:rPr>
                <w:sz w:val="22"/>
                <w:szCs w:val="22"/>
                <w:lang w:eastAsia="en-US"/>
              </w:rPr>
              <w:t xml:space="preserve">  </w:t>
            </w:r>
            <w:proofErr w:type="gramEnd"/>
          </w:p>
          <w:p w:rsidR="0026447F" w:rsidRPr="0026447F" w:rsidRDefault="0026447F" w:rsidP="00BF5828">
            <w:pPr>
              <w:jc w:val="both"/>
              <w:rPr>
                <w:sz w:val="22"/>
                <w:szCs w:val="22"/>
              </w:rPr>
            </w:pPr>
            <w:r w:rsidRPr="0026447F">
              <w:rPr>
                <w:sz w:val="22"/>
                <w:szCs w:val="22"/>
              </w:rPr>
              <w:t xml:space="preserve">Pirms lēmuma pieņemšanas par līguma slēgšanas tiesību piešķiršanu Komisija pārbauda, vai pretendents nav izslēdzams no dalības iepirkumā Publisko iepirkumu likuma 42. panta pirmā un </w:t>
            </w:r>
            <w:r w:rsidRPr="0026447F">
              <w:rPr>
                <w:color w:val="FF0000"/>
                <w:sz w:val="22"/>
                <w:szCs w:val="22"/>
              </w:rPr>
              <w:t>otrā</w:t>
            </w:r>
            <w:r w:rsidRPr="0026447F">
              <w:rPr>
                <w:sz w:val="22"/>
                <w:szCs w:val="22"/>
              </w:rPr>
              <w:t xml:space="preserve"> daļā minēto apstākļu dēļ, Komisija rīkojas atbilstoši Publisko iepirkumu likuma 42. pantam. Ja pretendents vai personālsabiedrības biedrs, ja pretendents ir personālsabiedrība, atbilst Publisko iepirkumu likuma 42. panta pirmās daļas 1., 3., 4., 5., 6. vai 7. punktā vai </w:t>
            </w:r>
            <w:r w:rsidRPr="0026447F">
              <w:rPr>
                <w:color w:val="C00000"/>
                <w:sz w:val="22"/>
                <w:szCs w:val="22"/>
              </w:rPr>
              <w:t>otrās</w:t>
            </w:r>
            <w:r w:rsidRPr="0026447F">
              <w:rPr>
                <w:sz w:val="22"/>
                <w:szCs w:val="22"/>
                <w:highlight w:val="yellow"/>
              </w:rPr>
              <w:t xml:space="preserve"> </w:t>
            </w:r>
            <w:r w:rsidRPr="0026447F">
              <w:rPr>
                <w:color w:val="FF0000"/>
                <w:sz w:val="22"/>
                <w:szCs w:val="22"/>
              </w:rPr>
              <w:t xml:space="preserve">daļas 1.vai 2.punktā </w:t>
            </w:r>
            <w:r w:rsidRPr="0026447F">
              <w:rPr>
                <w:sz w:val="22"/>
                <w:szCs w:val="22"/>
              </w:rPr>
              <w:t>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rsidR="0026447F" w:rsidRPr="0026447F" w:rsidRDefault="0026447F" w:rsidP="00BF5828">
            <w:pPr>
              <w:pStyle w:val="ListParagraph"/>
              <w:suppressAutoHyphens/>
              <w:ind w:left="0"/>
              <w:contextualSpacing w:val="0"/>
              <w:jc w:val="both"/>
              <w:rPr>
                <w:b/>
                <w:sz w:val="22"/>
                <w:szCs w:val="22"/>
              </w:rPr>
            </w:pP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rPr>
            </w:pPr>
            <w:r w:rsidRPr="0026447F">
              <w:rPr>
                <w:b/>
              </w:rPr>
              <w:lastRenderedPageBreak/>
              <w:t>5.jautājums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BodyText1"/>
              <w:shd w:val="clear" w:color="auto" w:fill="auto"/>
              <w:spacing w:line="317" w:lineRule="exact"/>
              <w:ind w:left="20" w:right="40"/>
              <w:jc w:val="left"/>
              <w:rPr>
                <w:rFonts w:ascii="Times New Roman" w:hAnsi="Times New Roman" w:cs="Times New Roman"/>
              </w:rPr>
            </w:pPr>
            <w:r w:rsidRPr="0026447F">
              <w:rPr>
                <w:rFonts w:ascii="Times New Roman" w:hAnsi="Times New Roman" w:cs="Times New Roman"/>
              </w:rPr>
              <w:t>Salīdzinot konkursam pievienotos Darbu apjomus (</w:t>
            </w:r>
            <w:proofErr w:type="spellStart"/>
            <w:r w:rsidRPr="0026447F">
              <w:rPr>
                <w:rFonts w:ascii="Times New Roman" w:hAnsi="Times New Roman" w:cs="Times New Roman"/>
              </w:rPr>
              <w:t>turmāk</w:t>
            </w:r>
            <w:proofErr w:type="spellEnd"/>
            <w:r w:rsidRPr="0026447F">
              <w:rPr>
                <w:rFonts w:ascii="Times New Roman" w:hAnsi="Times New Roman" w:cs="Times New Roman"/>
              </w:rPr>
              <w:t xml:space="preserve"> tekstā - tāme) ar Būvprojektā sniegto informāciju ir redzamas nesakritības, kam nepieciešams pasūtītāja skaidrojums:</w:t>
            </w:r>
          </w:p>
          <w:p w:rsidR="0026447F" w:rsidRPr="0026447F" w:rsidRDefault="0026447F" w:rsidP="00BF5828">
            <w:pPr>
              <w:pStyle w:val="BodyText1"/>
              <w:shd w:val="clear" w:color="auto" w:fill="auto"/>
              <w:tabs>
                <w:tab w:val="left" w:pos="1503"/>
              </w:tabs>
              <w:spacing w:after="0" w:line="317" w:lineRule="exact"/>
              <w:ind w:right="40"/>
              <w:jc w:val="both"/>
              <w:rPr>
                <w:rFonts w:ascii="Times New Roman" w:hAnsi="Times New Roman" w:cs="Times New Roman"/>
              </w:rPr>
            </w:pPr>
            <w:proofErr w:type="spellStart"/>
            <w:r w:rsidRPr="0026447F">
              <w:rPr>
                <w:rFonts w:ascii="Times New Roman" w:hAnsi="Times New Roman" w:cs="Times New Roman"/>
              </w:rPr>
              <w:t>Melnsila</w:t>
            </w:r>
            <w:proofErr w:type="spellEnd"/>
            <w:r w:rsidRPr="0026447F">
              <w:rPr>
                <w:rFonts w:ascii="Times New Roman" w:hAnsi="Times New Roman" w:cs="Times New Roman"/>
              </w:rPr>
              <w:t xml:space="preserve"> ielas tāmes dotajos apjomos ielas izbūvei paredzēts 6 969 m3 liels uzbēruma izbūves apjoms (pozīcija Nr.3.1.) un 4 816 m3 liels ierakuma apjoms (pozīcija Nr.3.2.), tāpat arī Būvprojekta sējumā </w:t>
            </w:r>
            <w:proofErr w:type="spellStart"/>
            <w:r w:rsidRPr="0026447F">
              <w:rPr>
                <w:rFonts w:ascii="Times New Roman" w:hAnsi="Times New Roman" w:cs="Times New Roman"/>
              </w:rPr>
              <w:t>Nr.l</w:t>
            </w:r>
            <w:proofErr w:type="spellEnd"/>
            <w:r w:rsidRPr="0026447F">
              <w:rPr>
                <w:rFonts w:ascii="Times New Roman" w:hAnsi="Times New Roman" w:cs="Times New Roman"/>
              </w:rPr>
              <w:t xml:space="preserve"> pie Būvdarbu apjomiem pievienotajos sarakstos ielas izbūvei norādīts tāds pats apjoms, kas būtībā ir visas ielas garumā un platumā aptuveni 1 m dziļumā veikts ierakums un uzbēruma būvniecība. Tomēr Būvprojektam pievienotajā rasējumā Nr. 3-1 “</w:t>
            </w:r>
            <w:proofErr w:type="spellStart"/>
            <w:r w:rsidRPr="0026447F">
              <w:rPr>
                <w:rFonts w:ascii="Times New Roman" w:hAnsi="Times New Roman" w:cs="Times New Roman"/>
              </w:rPr>
              <w:t>Sķērsrofils</w:t>
            </w:r>
            <w:proofErr w:type="spellEnd"/>
            <w:r w:rsidRPr="0026447F">
              <w:rPr>
                <w:rFonts w:ascii="Times New Roman" w:hAnsi="Times New Roman" w:cs="Times New Roman"/>
              </w:rPr>
              <w:t xml:space="preserve">” (izņemot 200 m posmu, kur paredzēta salizturīgā slāņa izbūve) visā trases posmā norādītā seguma </w:t>
            </w:r>
            <w:proofErr w:type="spellStart"/>
            <w:r w:rsidRPr="0026447F">
              <w:rPr>
                <w:rFonts w:ascii="Times New Roman" w:hAnsi="Times New Roman" w:cs="Times New Roman"/>
              </w:rPr>
              <w:t>konkstrukcija</w:t>
            </w:r>
            <w:proofErr w:type="spellEnd"/>
            <w:r w:rsidRPr="0026447F">
              <w:rPr>
                <w:rFonts w:ascii="Times New Roman" w:hAnsi="Times New Roman" w:cs="Times New Roman"/>
              </w:rPr>
              <w:t xml:space="preserve"> ir 29 cm biezumā uz esošās grunts pamata, kas neparedz ne ierakuma, ne uzbēruma apjomu tāmē dotajā apjomā. Ņemot vērā ievērojamos apjomus un nesakritības, korektu aprēķinu veikšanai lūdzam pasūtītāja skaidrojumu par to kur plānots veikts ierakuma un uzbēruma izbūves darbus </w:t>
            </w:r>
            <w:proofErr w:type="spellStart"/>
            <w:r w:rsidRPr="0026447F">
              <w:rPr>
                <w:rFonts w:ascii="Times New Roman" w:hAnsi="Times New Roman" w:cs="Times New Roman"/>
              </w:rPr>
              <w:t>Melnsila</w:t>
            </w:r>
            <w:proofErr w:type="spellEnd"/>
            <w:r w:rsidRPr="0026447F">
              <w:rPr>
                <w:rFonts w:ascii="Times New Roman" w:hAnsi="Times New Roman" w:cs="Times New Roman"/>
              </w:rPr>
              <w:t xml:space="preserve"> ielā;</w:t>
            </w:r>
          </w:p>
          <w:p w:rsidR="0026447F" w:rsidRPr="0026447F" w:rsidRDefault="0026447F" w:rsidP="00BF5828">
            <w:pPr>
              <w:jc w:val="both"/>
              <w:rPr>
                <w:b/>
                <w:sz w:val="22"/>
                <w:szCs w:val="22"/>
                <w:lang w:eastAsia="en-US"/>
              </w:rPr>
            </w:pP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color w:val="FF0000"/>
              </w:rPr>
            </w:pPr>
            <w:r w:rsidRPr="0026447F">
              <w:rPr>
                <w:b/>
                <w:color w:val="FF0000"/>
              </w:rPr>
              <w:t>Grozījums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rPr>
                <w:sz w:val="22"/>
                <w:szCs w:val="22"/>
              </w:rPr>
            </w:pPr>
            <w:r w:rsidRPr="0026447F">
              <w:rPr>
                <w:sz w:val="22"/>
                <w:szCs w:val="22"/>
              </w:rPr>
              <w:t xml:space="preserve">Ierakuma/uzbēruma darbi paredzēti esošās segas konstrukcijas demontāžai tā, kā noteikts rasējumos CD-3 “Šķērsprofili”. </w:t>
            </w:r>
          </w:p>
          <w:p w:rsidR="00050FD6" w:rsidRDefault="00050FD6" w:rsidP="00BF5828">
            <w:pPr>
              <w:rPr>
                <w:sz w:val="22"/>
                <w:szCs w:val="22"/>
              </w:rPr>
            </w:pPr>
            <w:r>
              <w:rPr>
                <w:sz w:val="22"/>
                <w:szCs w:val="22"/>
              </w:rPr>
              <w:t>Grozīt</w:t>
            </w:r>
            <w:r w:rsidR="0026447F" w:rsidRPr="0026447F">
              <w:rPr>
                <w:sz w:val="22"/>
                <w:szCs w:val="22"/>
              </w:rPr>
              <w:t xml:space="preserve"> </w:t>
            </w:r>
            <w:r w:rsidR="0026447F" w:rsidRPr="0026447F">
              <w:rPr>
                <w:i/>
                <w:sz w:val="22"/>
                <w:szCs w:val="22"/>
              </w:rPr>
              <w:t xml:space="preserve">5.Objekta </w:t>
            </w:r>
            <w:proofErr w:type="spellStart"/>
            <w:r w:rsidR="0026447F" w:rsidRPr="0026447F">
              <w:rPr>
                <w:i/>
                <w:sz w:val="22"/>
                <w:szCs w:val="22"/>
              </w:rPr>
              <w:t>Melnsila</w:t>
            </w:r>
            <w:proofErr w:type="spellEnd"/>
            <w:r w:rsidR="0026447F" w:rsidRPr="0026447F">
              <w:rPr>
                <w:i/>
                <w:sz w:val="22"/>
                <w:szCs w:val="22"/>
              </w:rPr>
              <w:t xml:space="preserve"> ielas pārbūve, Zvejniekciemā, Saulkrastu novadā</w:t>
            </w:r>
            <w:r w:rsidR="0026447F" w:rsidRPr="0026447F">
              <w:rPr>
                <w:sz w:val="22"/>
                <w:szCs w:val="22"/>
              </w:rPr>
              <w:t xml:space="preserve"> </w:t>
            </w:r>
          </w:p>
          <w:p w:rsidR="0026447F" w:rsidRPr="0026447F" w:rsidRDefault="0026447F" w:rsidP="00BF5828">
            <w:pPr>
              <w:rPr>
                <w:sz w:val="22"/>
                <w:szCs w:val="22"/>
              </w:rPr>
            </w:pPr>
            <w:r w:rsidRPr="0026447F">
              <w:rPr>
                <w:sz w:val="22"/>
                <w:szCs w:val="22"/>
              </w:rPr>
              <w:t>Darbu apjomu tāmes „Teritorijas sadaļa”</w:t>
            </w:r>
            <w:proofErr w:type="gramStart"/>
            <w:r w:rsidRPr="0026447F">
              <w:rPr>
                <w:sz w:val="22"/>
                <w:szCs w:val="22"/>
              </w:rPr>
              <w:t xml:space="preserve">  </w:t>
            </w:r>
            <w:proofErr w:type="gramEnd"/>
          </w:p>
          <w:p w:rsidR="0026447F" w:rsidRPr="0026447F" w:rsidRDefault="0026447F" w:rsidP="00BF5828">
            <w:pPr>
              <w:rPr>
                <w:color w:val="FF0000"/>
                <w:sz w:val="22"/>
                <w:szCs w:val="22"/>
              </w:rPr>
            </w:pPr>
            <w:r w:rsidRPr="0026447F">
              <w:rPr>
                <w:color w:val="FF0000"/>
                <w:sz w:val="22"/>
                <w:szCs w:val="22"/>
              </w:rPr>
              <w:t>3.1. punktu izteikt šādā redakcijā „Uzbēruma būvniecība - 524.20m3”</w:t>
            </w:r>
          </w:p>
          <w:p w:rsidR="0026447F" w:rsidRDefault="0026447F" w:rsidP="00BF5828">
            <w:pPr>
              <w:rPr>
                <w:color w:val="FF0000"/>
                <w:sz w:val="22"/>
                <w:szCs w:val="22"/>
              </w:rPr>
            </w:pPr>
            <w:r w:rsidRPr="0026447F">
              <w:rPr>
                <w:color w:val="FF0000"/>
                <w:sz w:val="22"/>
                <w:szCs w:val="22"/>
              </w:rPr>
              <w:t>3.2. punktu izteikt šādā redakcijā „</w:t>
            </w:r>
            <w:r w:rsidR="00756296">
              <w:rPr>
                <w:color w:val="FF0000"/>
                <w:sz w:val="22"/>
                <w:szCs w:val="22"/>
              </w:rPr>
              <w:t>Ierakuma būvniecība -</w:t>
            </w:r>
            <w:r w:rsidRPr="0026447F">
              <w:rPr>
                <w:color w:val="FF0000"/>
                <w:sz w:val="22"/>
                <w:szCs w:val="22"/>
              </w:rPr>
              <w:t xml:space="preserve"> 1026.91m3”</w:t>
            </w:r>
          </w:p>
          <w:p w:rsidR="00756296" w:rsidRDefault="00756296" w:rsidP="00756296">
            <w:pPr>
              <w:rPr>
                <w:color w:val="FF0000"/>
                <w:sz w:val="22"/>
                <w:szCs w:val="22"/>
              </w:rPr>
            </w:pPr>
            <w:r>
              <w:rPr>
                <w:color w:val="FF0000"/>
                <w:sz w:val="22"/>
                <w:szCs w:val="22"/>
              </w:rPr>
              <w:t>1.6.</w:t>
            </w:r>
            <w:r w:rsidRPr="0026447F">
              <w:rPr>
                <w:color w:val="FF0000"/>
                <w:sz w:val="22"/>
                <w:szCs w:val="22"/>
              </w:rPr>
              <w:t xml:space="preserve"> punktu izteikt šādā redakcijā</w:t>
            </w:r>
            <w:r>
              <w:rPr>
                <w:color w:val="FF0000"/>
                <w:sz w:val="22"/>
                <w:szCs w:val="22"/>
              </w:rPr>
              <w:t xml:space="preserve"> „</w:t>
            </w:r>
            <w:r w:rsidRPr="00756296">
              <w:rPr>
                <w:color w:val="FF0000"/>
                <w:sz w:val="22"/>
                <w:szCs w:val="22"/>
              </w:rPr>
              <w:t>Izstrād</w:t>
            </w:r>
            <w:r>
              <w:rPr>
                <w:color w:val="FF0000"/>
                <w:sz w:val="22"/>
                <w:szCs w:val="22"/>
              </w:rPr>
              <w:t>ātā ierakuma aizvešana (pēc iep</w:t>
            </w:r>
            <w:r w:rsidRPr="00756296">
              <w:rPr>
                <w:color w:val="FF0000"/>
                <w:sz w:val="22"/>
                <w:szCs w:val="22"/>
              </w:rPr>
              <w:t>i</w:t>
            </w:r>
            <w:r>
              <w:rPr>
                <w:color w:val="FF0000"/>
                <w:sz w:val="22"/>
                <w:szCs w:val="22"/>
              </w:rPr>
              <w:t>r</w:t>
            </w:r>
            <w:r w:rsidRPr="00756296">
              <w:rPr>
                <w:color w:val="FF0000"/>
                <w:sz w:val="22"/>
                <w:szCs w:val="22"/>
              </w:rPr>
              <w:t>kuma nolikuma)</w:t>
            </w:r>
            <w:r>
              <w:rPr>
                <w:color w:val="FF0000"/>
                <w:sz w:val="22"/>
                <w:szCs w:val="22"/>
              </w:rPr>
              <w:t xml:space="preserve"> -</w:t>
            </w:r>
            <w:r w:rsidRPr="0026447F">
              <w:rPr>
                <w:color w:val="FF0000"/>
                <w:sz w:val="22"/>
                <w:szCs w:val="22"/>
              </w:rPr>
              <w:t>1026.91m3”</w:t>
            </w:r>
          </w:p>
          <w:p w:rsidR="00756296" w:rsidRPr="0026447F" w:rsidRDefault="00756296" w:rsidP="00BF5828">
            <w:pPr>
              <w:rPr>
                <w:color w:val="FF0000"/>
                <w:sz w:val="22"/>
                <w:szCs w:val="22"/>
              </w:rPr>
            </w:pPr>
          </w:p>
          <w:p w:rsidR="0026447F" w:rsidRPr="0026447F" w:rsidRDefault="0026447F" w:rsidP="00BF5828">
            <w:pPr>
              <w:pStyle w:val="BodyText1"/>
              <w:shd w:val="clear" w:color="auto" w:fill="auto"/>
              <w:spacing w:line="317" w:lineRule="exact"/>
              <w:ind w:left="20" w:right="40"/>
              <w:jc w:val="left"/>
              <w:rPr>
                <w:rFonts w:ascii="Times New Roman" w:hAnsi="Times New Roman" w:cs="Times New Roman"/>
              </w:rPr>
            </w:pP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rPr>
            </w:pPr>
            <w:r w:rsidRPr="0026447F">
              <w:rPr>
                <w:b/>
              </w:rPr>
              <w:t>6.jautājums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BodyText1"/>
              <w:shd w:val="clear" w:color="auto" w:fill="auto"/>
              <w:tabs>
                <w:tab w:val="left" w:pos="1503"/>
              </w:tabs>
              <w:spacing w:after="2" w:line="190" w:lineRule="exact"/>
              <w:jc w:val="both"/>
              <w:rPr>
                <w:rFonts w:ascii="Times New Roman" w:hAnsi="Times New Roman" w:cs="Times New Roman"/>
              </w:rPr>
            </w:pPr>
            <w:proofErr w:type="spellStart"/>
            <w:r w:rsidRPr="0026447F">
              <w:rPr>
                <w:rFonts w:ascii="Times New Roman" w:hAnsi="Times New Roman" w:cs="Times New Roman"/>
              </w:rPr>
              <w:t>Melnsila</w:t>
            </w:r>
            <w:proofErr w:type="spellEnd"/>
            <w:r w:rsidRPr="0026447F">
              <w:rPr>
                <w:rFonts w:ascii="Times New Roman" w:hAnsi="Times New Roman" w:cs="Times New Roman"/>
              </w:rPr>
              <w:t xml:space="preserve"> ielas tāme iekļauta izmaksu pozīcija Nr. 3.3. “Vājas nestspējas grunts izstrāde un</w:t>
            </w:r>
          </w:p>
          <w:p w:rsidR="0026447F" w:rsidRPr="0026447F" w:rsidRDefault="0026447F" w:rsidP="00BF5828">
            <w:pPr>
              <w:pStyle w:val="BodyText1"/>
              <w:shd w:val="clear" w:color="auto" w:fill="auto"/>
              <w:spacing w:line="320" w:lineRule="exact"/>
              <w:ind w:right="40"/>
              <w:jc w:val="both"/>
              <w:rPr>
                <w:rFonts w:ascii="Times New Roman" w:hAnsi="Times New Roman" w:cs="Times New Roman"/>
              </w:rPr>
            </w:pPr>
            <w:r w:rsidRPr="0026447F">
              <w:rPr>
                <w:rFonts w:ascii="Times New Roman" w:hAnsi="Times New Roman" w:cs="Times New Roman"/>
              </w:rPr>
              <w:t xml:space="preserve">aizvešana uz būvuzņēmēja atbērtai'’ ar doto apjomu 1 720 m3. Lūdzam pasūtītāja </w:t>
            </w:r>
            <w:r w:rsidRPr="0026447F">
              <w:rPr>
                <w:rFonts w:ascii="Times New Roman" w:hAnsi="Times New Roman" w:cs="Times New Roman"/>
              </w:rPr>
              <w:lastRenderedPageBreak/>
              <w:t xml:space="preserve">skaidrojumu vai darbs paredz tikai grunts izvešanu un atpakaļ beramais apjoms ir tāmē dotajā izmaksu pozīcijā paredzētais darbs Nr.3.5.’’Salizturīgās kārtas izbūve vid.60 cm biezumā”, ņemot vērā to, ka Būvprojekta sējumā </w:t>
            </w:r>
            <w:proofErr w:type="spellStart"/>
            <w:r w:rsidRPr="0026447F">
              <w:rPr>
                <w:rFonts w:ascii="Times New Roman" w:hAnsi="Times New Roman" w:cs="Times New Roman"/>
              </w:rPr>
              <w:t>Nr.l</w:t>
            </w:r>
            <w:proofErr w:type="spellEnd"/>
          </w:p>
          <w:p w:rsidR="0026447F" w:rsidRPr="0026447F" w:rsidRDefault="0026447F" w:rsidP="00BF5828">
            <w:pPr>
              <w:pStyle w:val="BodyText1"/>
              <w:shd w:val="clear" w:color="auto" w:fill="auto"/>
              <w:spacing w:line="320" w:lineRule="exact"/>
              <w:ind w:right="40"/>
              <w:jc w:val="both"/>
              <w:rPr>
                <w:rFonts w:ascii="Times New Roman" w:hAnsi="Times New Roman" w:cs="Times New Roman"/>
              </w:rPr>
            </w:pPr>
            <w:r w:rsidRPr="0026447F">
              <w:rPr>
                <w:rFonts w:ascii="Times New Roman" w:hAnsi="Times New Roman" w:cs="Times New Roman"/>
              </w:rPr>
              <w:t>pie Būvdarbu apjomiem pievienotajos sarakstos ielas izbūvei salizturīga slāņa izbūves darbs atsevišķi nav izdalīts, taču ir iekļauts darba veids “Vājas nestspējas grunts apmaiņa”.</w:t>
            </w: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color w:val="FF0000"/>
              </w:rPr>
            </w:pPr>
            <w:r w:rsidRPr="0026447F">
              <w:rPr>
                <w:b/>
                <w:color w:val="FF0000"/>
              </w:rPr>
              <w:lastRenderedPageBreak/>
              <w:t>Grozījums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rPr>
                <w:sz w:val="22"/>
                <w:szCs w:val="22"/>
              </w:rPr>
            </w:pPr>
            <w:r w:rsidRPr="0026447F">
              <w:rPr>
                <w:sz w:val="22"/>
                <w:szCs w:val="22"/>
              </w:rPr>
              <w:t xml:space="preserve">Specifikācijās - “Vājas nestspējas grunts apmaiņa - vājas nestspējas grunts izstrādāšana, aizvešana uz </w:t>
            </w:r>
            <w:proofErr w:type="spellStart"/>
            <w:r w:rsidRPr="0026447F">
              <w:rPr>
                <w:sz w:val="22"/>
                <w:szCs w:val="22"/>
              </w:rPr>
              <w:t>atbērtni</w:t>
            </w:r>
            <w:proofErr w:type="spellEnd"/>
            <w:r w:rsidRPr="0026447F">
              <w:rPr>
                <w:sz w:val="22"/>
                <w:szCs w:val="22"/>
              </w:rPr>
              <w:t xml:space="preserve"> un būvbedres aizpildīšana ar uzbēruma grunti.”</w:t>
            </w:r>
          </w:p>
          <w:p w:rsidR="0026447F" w:rsidRPr="0026447F" w:rsidRDefault="0026447F" w:rsidP="00BF5828">
            <w:pPr>
              <w:rPr>
                <w:sz w:val="22"/>
                <w:szCs w:val="22"/>
              </w:rPr>
            </w:pPr>
          </w:p>
          <w:p w:rsidR="0026447F" w:rsidRPr="0026447F" w:rsidRDefault="0026447F" w:rsidP="00BF5828">
            <w:pPr>
              <w:rPr>
                <w:sz w:val="22"/>
                <w:szCs w:val="22"/>
              </w:rPr>
            </w:pPr>
            <w:r w:rsidRPr="0026447F">
              <w:rPr>
                <w:i/>
                <w:sz w:val="22"/>
                <w:szCs w:val="22"/>
              </w:rPr>
              <w:t xml:space="preserve">5.Objekta </w:t>
            </w:r>
            <w:proofErr w:type="spellStart"/>
            <w:r w:rsidRPr="0026447F">
              <w:rPr>
                <w:i/>
                <w:sz w:val="22"/>
                <w:szCs w:val="22"/>
              </w:rPr>
              <w:t>Melnsila</w:t>
            </w:r>
            <w:proofErr w:type="spellEnd"/>
            <w:r w:rsidRPr="0026447F">
              <w:rPr>
                <w:i/>
                <w:sz w:val="22"/>
                <w:szCs w:val="22"/>
              </w:rPr>
              <w:t xml:space="preserve"> ielas pārbūve, Zvejniekciemā, Saulkrastu novadā</w:t>
            </w:r>
            <w:r w:rsidRPr="0026447F">
              <w:rPr>
                <w:sz w:val="22"/>
                <w:szCs w:val="22"/>
              </w:rPr>
              <w:t xml:space="preserve"> Darbu apjomu tāmes „Teritorijas sadaļā”</w:t>
            </w:r>
            <w:proofErr w:type="gramStart"/>
            <w:r w:rsidRPr="0026447F">
              <w:rPr>
                <w:sz w:val="22"/>
                <w:szCs w:val="22"/>
              </w:rPr>
              <w:t xml:space="preserve">  </w:t>
            </w:r>
            <w:proofErr w:type="gramEnd"/>
            <w:r w:rsidRPr="0026447F">
              <w:rPr>
                <w:sz w:val="22"/>
                <w:szCs w:val="22"/>
              </w:rPr>
              <w:t xml:space="preserve">svītrot 3.5.punktu </w:t>
            </w:r>
          </w:p>
          <w:p w:rsidR="0026447F" w:rsidRPr="0026447F" w:rsidRDefault="0026447F" w:rsidP="00BF5828">
            <w:pPr>
              <w:rPr>
                <w:strike/>
                <w:color w:val="FF0000"/>
                <w:sz w:val="22"/>
                <w:szCs w:val="22"/>
              </w:rPr>
            </w:pPr>
            <w:r w:rsidRPr="0026447F">
              <w:rPr>
                <w:strike/>
                <w:color w:val="FF0000"/>
                <w:sz w:val="22"/>
                <w:szCs w:val="22"/>
              </w:rPr>
              <w:t>3.5 Salizturīgās kārtas izbūve vid. 60 cm biezumā – 1140,00 m3</w:t>
            </w:r>
          </w:p>
          <w:p w:rsidR="0026447F" w:rsidRPr="0026447F" w:rsidRDefault="0026447F" w:rsidP="00BF5828">
            <w:pPr>
              <w:rPr>
                <w:sz w:val="22"/>
                <w:szCs w:val="22"/>
              </w:rPr>
            </w:pPr>
          </w:p>
          <w:p w:rsidR="0026447F" w:rsidRPr="0026447F" w:rsidRDefault="0026447F" w:rsidP="00BF5828">
            <w:pPr>
              <w:rPr>
                <w:color w:val="FF0000"/>
                <w:sz w:val="22"/>
                <w:szCs w:val="22"/>
              </w:rPr>
            </w:pPr>
            <w:r w:rsidRPr="0026447F">
              <w:rPr>
                <w:sz w:val="22"/>
                <w:szCs w:val="22"/>
              </w:rPr>
              <w:t xml:space="preserve">CD-3 “Šķērsprofili” – “Salizturīgās kārtas izbūve vid. 60 cm biezumā” labot uz </w:t>
            </w:r>
            <w:r w:rsidRPr="0026447F">
              <w:rPr>
                <w:color w:val="FF0000"/>
                <w:sz w:val="22"/>
                <w:szCs w:val="22"/>
              </w:rPr>
              <w:t>“Vājas nestspējas grunts apmaiņa, hvid=60cm”</w:t>
            </w:r>
          </w:p>
          <w:p w:rsidR="0026447F" w:rsidRPr="0026447F" w:rsidRDefault="0026447F" w:rsidP="00BF5828">
            <w:pPr>
              <w:rPr>
                <w:color w:val="FF0000"/>
              </w:rPr>
            </w:pPr>
          </w:p>
          <w:p w:rsidR="0026447F" w:rsidRPr="0026447F" w:rsidRDefault="0026447F" w:rsidP="00BF5828">
            <w:pPr>
              <w:pStyle w:val="BodyText1"/>
              <w:shd w:val="clear" w:color="auto" w:fill="auto"/>
              <w:spacing w:after="0" w:line="200" w:lineRule="exact"/>
              <w:jc w:val="both"/>
              <w:rPr>
                <w:rFonts w:ascii="Times New Roman" w:hAnsi="Times New Roman" w:cs="Times New Roman"/>
              </w:rPr>
            </w:pPr>
          </w:p>
        </w:tc>
      </w:tr>
      <w:tr w:rsidR="0026447F" w:rsidRPr="00571F3D" w:rsidTr="00BF5828">
        <w:trPr>
          <w:trHeight w:val="1835"/>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rPr>
            </w:pPr>
            <w:r w:rsidRPr="0026447F">
              <w:rPr>
                <w:b/>
              </w:rPr>
              <w:t>7.jautājums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BodyText1"/>
              <w:shd w:val="clear" w:color="auto" w:fill="auto"/>
              <w:spacing w:after="0" w:line="317" w:lineRule="exact"/>
              <w:ind w:right="20"/>
              <w:jc w:val="both"/>
              <w:rPr>
                <w:rFonts w:ascii="Times New Roman" w:hAnsi="Times New Roman" w:cs="Times New Roman"/>
              </w:rPr>
            </w:pPr>
            <w:r w:rsidRPr="0026447F">
              <w:rPr>
                <w:rFonts w:ascii="Times New Roman" w:hAnsi="Times New Roman" w:cs="Times New Roman"/>
              </w:rPr>
              <w:t xml:space="preserve">Atbilstoši pasūtītāja iesniegtajiem darbu apjomiem (turpmāk tekstā - tāme), redzams, ka Pasūtītājs vēlas, lai projekta ietvaros tiktu uzstādītas Ielu norādes: 5 </w:t>
            </w:r>
            <w:proofErr w:type="spellStart"/>
            <w:r w:rsidRPr="0026447F">
              <w:rPr>
                <w:rFonts w:ascii="Times New Roman" w:hAnsi="Times New Roman" w:cs="Times New Roman"/>
              </w:rPr>
              <w:t>gab</w:t>
            </w:r>
            <w:proofErr w:type="spellEnd"/>
            <w:r w:rsidRPr="0026447F">
              <w:rPr>
                <w:rFonts w:ascii="Times New Roman" w:hAnsi="Times New Roman" w:cs="Times New Roman"/>
              </w:rPr>
              <w:t xml:space="preserve"> Pirmā un Svētku ielā; 1 </w:t>
            </w:r>
            <w:proofErr w:type="spellStart"/>
            <w:r w:rsidRPr="0026447F">
              <w:rPr>
                <w:rFonts w:ascii="Times New Roman" w:hAnsi="Times New Roman" w:cs="Times New Roman"/>
              </w:rPr>
              <w:t>gab</w:t>
            </w:r>
            <w:proofErr w:type="spellEnd"/>
            <w:r w:rsidRPr="0026447F">
              <w:rPr>
                <w:rFonts w:ascii="Times New Roman" w:hAnsi="Times New Roman" w:cs="Times New Roman"/>
              </w:rPr>
              <w:t xml:space="preserve"> Bīriņu ielā; 1 </w:t>
            </w:r>
            <w:proofErr w:type="spellStart"/>
            <w:r w:rsidRPr="0026447F">
              <w:rPr>
                <w:rFonts w:ascii="Times New Roman" w:hAnsi="Times New Roman" w:cs="Times New Roman"/>
              </w:rPr>
              <w:t>gab</w:t>
            </w:r>
            <w:proofErr w:type="spellEnd"/>
            <w:r w:rsidRPr="0026447F">
              <w:rPr>
                <w:rFonts w:ascii="Times New Roman" w:hAnsi="Times New Roman" w:cs="Times New Roman"/>
              </w:rPr>
              <w:t xml:space="preserve"> Akāciju ielā; 2 </w:t>
            </w:r>
            <w:proofErr w:type="spellStart"/>
            <w:r w:rsidRPr="0026447F">
              <w:rPr>
                <w:rFonts w:ascii="Times New Roman" w:hAnsi="Times New Roman" w:cs="Times New Roman"/>
              </w:rPr>
              <w:t>gab</w:t>
            </w:r>
            <w:proofErr w:type="spellEnd"/>
            <w:r w:rsidRPr="0026447F">
              <w:rPr>
                <w:rFonts w:ascii="Times New Roman" w:hAnsi="Times New Roman" w:cs="Times New Roman"/>
              </w:rPr>
              <w:t xml:space="preserve"> Jūras ielā, 7 </w:t>
            </w:r>
            <w:proofErr w:type="spellStart"/>
            <w:r w:rsidRPr="0026447F">
              <w:rPr>
                <w:rFonts w:ascii="Times New Roman" w:hAnsi="Times New Roman" w:cs="Times New Roman"/>
              </w:rPr>
              <w:t>gab</w:t>
            </w:r>
            <w:proofErr w:type="spellEnd"/>
            <w:r w:rsidRPr="0026447F">
              <w:rPr>
                <w:rFonts w:ascii="Times New Roman" w:hAnsi="Times New Roman" w:cs="Times New Roman"/>
              </w:rPr>
              <w:t xml:space="preserve"> </w:t>
            </w:r>
            <w:proofErr w:type="spellStart"/>
            <w:r w:rsidRPr="0026447F">
              <w:rPr>
                <w:rFonts w:ascii="Times New Roman" w:hAnsi="Times New Roman" w:cs="Times New Roman"/>
              </w:rPr>
              <w:t>Melnsila</w:t>
            </w:r>
            <w:proofErr w:type="spellEnd"/>
            <w:r w:rsidRPr="0026447F">
              <w:rPr>
                <w:rFonts w:ascii="Times New Roman" w:hAnsi="Times New Roman" w:cs="Times New Roman"/>
              </w:rPr>
              <w:t xml:space="preserve"> ielā, t.i. kopā 16 gab. Lai sagatavotu korektu piedāvājumu attiecīgajām izmaksu </w:t>
            </w:r>
            <w:proofErr w:type="spellStart"/>
            <w:r w:rsidRPr="0026447F">
              <w:rPr>
                <w:rFonts w:ascii="Times New Roman" w:hAnsi="Times New Roman" w:cs="Times New Roman"/>
              </w:rPr>
              <w:t>pozīcijiām</w:t>
            </w:r>
            <w:proofErr w:type="spellEnd"/>
            <w:r w:rsidRPr="0026447F">
              <w:rPr>
                <w:rFonts w:ascii="Times New Roman" w:hAnsi="Times New Roman" w:cs="Times New Roman"/>
              </w:rPr>
              <w:t>, lūdzu iesniegt materiālu specifikāciju pasūtītāja paredzētajām Ielu norādēm;</w:t>
            </w:r>
          </w:p>
          <w:p w:rsidR="0026447F" w:rsidRPr="0026447F" w:rsidRDefault="0026447F" w:rsidP="00BF5828">
            <w:pPr>
              <w:pStyle w:val="BodyText1"/>
              <w:shd w:val="clear" w:color="auto" w:fill="auto"/>
              <w:spacing w:after="358" w:line="200" w:lineRule="exact"/>
              <w:jc w:val="left"/>
              <w:rPr>
                <w:rFonts w:ascii="Times New Roman" w:hAnsi="Times New Roman" w:cs="Times New Roman"/>
                <w:i/>
              </w:rPr>
            </w:pP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rPr>
            </w:pPr>
            <w:r w:rsidRPr="0026447F">
              <w:rPr>
                <w:b/>
              </w:rPr>
              <w:t>Skaidrojums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rPr>
                <w:sz w:val="20"/>
                <w:szCs w:val="20"/>
              </w:rPr>
            </w:pPr>
            <w:r w:rsidRPr="0026447F">
              <w:rPr>
                <w:sz w:val="20"/>
                <w:szCs w:val="20"/>
              </w:rPr>
              <w:t>Pasūtītājs paskaidro, ka Būvdarbu laikā jāprecizē, vai esošās ceļa zīmes ir atkārtoti izmantojamas, ja to stāvoklis uz būvniecības brīdi atbilst ekspluatācijas nosacījumiem, tad ir pieļaujama ceļa zīmju atkārtota izmantošana.” Ievērot pašvaldības noteikumus</w:t>
            </w:r>
            <w:r w:rsidRPr="0026447F">
              <w:rPr>
                <w:i/>
                <w:iCs/>
                <w:sz w:val="20"/>
                <w:szCs w:val="20"/>
              </w:rPr>
              <w:t> </w:t>
            </w:r>
            <w:hyperlink r:id="rId10" w:tgtFrame="_blank" w:history="1">
              <w:r w:rsidRPr="0026447F">
                <w:rPr>
                  <w:rStyle w:val="Hyperlink"/>
                  <w:i/>
                  <w:iCs/>
                  <w:color w:val="auto"/>
                  <w:sz w:val="20"/>
                  <w:szCs w:val="20"/>
                </w:rPr>
                <w:t>http://saulkrasti.lv/wp-content/uploads/2016/12/SN_14_ielu_nosaukumi_un_ku_numurzimes_26.06.2015.pdf</w:t>
              </w:r>
            </w:hyperlink>
            <w:r w:rsidRPr="0026447F">
              <w:rPr>
                <w:i/>
                <w:iCs/>
                <w:sz w:val="20"/>
                <w:szCs w:val="20"/>
              </w:rPr>
              <w:t xml:space="preserve"> , </w:t>
            </w:r>
            <w:r w:rsidRPr="0026447F">
              <w:rPr>
                <w:iCs/>
                <w:sz w:val="22"/>
                <w:szCs w:val="22"/>
              </w:rPr>
              <w:t>kur</w:t>
            </w:r>
            <w:r w:rsidRPr="0026447F">
              <w:rPr>
                <w:sz w:val="22"/>
                <w:szCs w:val="22"/>
              </w:rPr>
              <w:t> </w:t>
            </w:r>
            <w:r w:rsidRPr="0026447F">
              <w:rPr>
                <w:sz w:val="20"/>
                <w:szCs w:val="20"/>
              </w:rPr>
              <w:t>aprakstītas dimensijas, pārējās prasības.  Vairogu balstu prasības definē „Autoceļu specifikācijas 2017” 6.2. nodaļa.</w:t>
            </w:r>
          </w:p>
        </w:tc>
      </w:tr>
      <w:tr w:rsidR="0026447F" w:rsidRPr="00571F3D" w:rsidTr="00BF5828">
        <w:trPr>
          <w:trHeight w:val="1463"/>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color w:val="FF0000"/>
              </w:rPr>
            </w:pPr>
            <w:r w:rsidRPr="0026447F">
              <w:rPr>
                <w:b/>
              </w:rPr>
              <w:t>8.jautājums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BodyText1"/>
              <w:shd w:val="clear" w:color="auto" w:fill="auto"/>
              <w:spacing w:after="446" w:line="317" w:lineRule="exact"/>
              <w:ind w:right="20"/>
              <w:jc w:val="both"/>
              <w:rPr>
                <w:rFonts w:ascii="Times New Roman" w:hAnsi="Times New Roman" w:cs="Times New Roman"/>
              </w:rPr>
            </w:pPr>
            <w:r w:rsidRPr="0026447F">
              <w:rPr>
                <w:rFonts w:ascii="Times New Roman" w:hAnsi="Times New Roman" w:cs="Times New Roman"/>
              </w:rPr>
              <w:t>Upes ielas pārbūves projektam pievienotajā tāmē sadaļā Nr. 3 ELT ir iekļautas izmaksu pozīcijas Nr. 3.1. “EPL vai sarkanās līnijas nospraušana'’ un Nr. 3.2. “EPL digitālā uzmērīšana” ar doto apjomu katrai no pozīcijām 200 km. Lūdzam pasūtītāja veikt labojumus tāmē un iesniegt projektam atbilstošus apjomus.</w:t>
            </w: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color w:val="FF0000"/>
              </w:rPr>
            </w:pPr>
            <w:r w:rsidRPr="0026447F">
              <w:rPr>
                <w:b/>
                <w:color w:val="FF0000"/>
              </w:rPr>
              <w:t>Grozījums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rPr>
                <w:sz w:val="22"/>
                <w:szCs w:val="22"/>
              </w:rPr>
            </w:pPr>
            <w:r w:rsidRPr="0026447F">
              <w:rPr>
                <w:i/>
                <w:sz w:val="22"/>
                <w:szCs w:val="22"/>
              </w:rPr>
              <w:t>6.Objekta Upes ielas pārbūve, Zvejniekciemā, Saulkrastu novadā</w:t>
            </w:r>
            <w:r w:rsidRPr="0026447F">
              <w:rPr>
                <w:sz w:val="22"/>
                <w:szCs w:val="22"/>
              </w:rPr>
              <w:t xml:space="preserve"> </w:t>
            </w:r>
          </w:p>
          <w:p w:rsidR="0026447F" w:rsidRPr="0026447F" w:rsidRDefault="0026447F" w:rsidP="00BF5828">
            <w:pPr>
              <w:rPr>
                <w:sz w:val="22"/>
                <w:szCs w:val="22"/>
              </w:rPr>
            </w:pPr>
            <w:r w:rsidRPr="0026447F">
              <w:rPr>
                <w:sz w:val="22"/>
                <w:szCs w:val="22"/>
              </w:rPr>
              <w:t>Darbu apjomu tāmē „Elektroapgāde, ārējie tīkli būvniecībā”</w:t>
            </w:r>
            <w:proofErr w:type="gramStart"/>
            <w:r w:rsidRPr="0026447F">
              <w:rPr>
                <w:sz w:val="22"/>
                <w:szCs w:val="22"/>
              </w:rPr>
              <w:t xml:space="preserve">  </w:t>
            </w:r>
            <w:proofErr w:type="gramEnd"/>
          </w:p>
          <w:p w:rsidR="0026447F" w:rsidRPr="0026447F" w:rsidRDefault="0026447F" w:rsidP="00BF5828">
            <w:pPr>
              <w:rPr>
                <w:color w:val="C00000"/>
                <w:sz w:val="22"/>
                <w:szCs w:val="22"/>
              </w:rPr>
            </w:pPr>
            <w:r w:rsidRPr="0026447F">
              <w:rPr>
                <w:sz w:val="22"/>
                <w:szCs w:val="22"/>
              </w:rPr>
              <w:t xml:space="preserve">3.1.punktu izteikt šādā redakcijā: </w:t>
            </w:r>
            <w:r w:rsidRPr="0026447F">
              <w:rPr>
                <w:color w:val="C00000"/>
                <w:sz w:val="22"/>
                <w:szCs w:val="22"/>
              </w:rPr>
              <w:t>„EPL vai sarkanās līnijas nospraušana” 200 m</w:t>
            </w:r>
            <w:r w:rsidRPr="0026447F">
              <w:rPr>
                <w:sz w:val="22"/>
                <w:szCs w:val="22"/>
              </w:rPr>
              <w:t xml:space="preserve"> 3.2. punktu izteikt šādā redakcijā: </w:t>
            </w:r>
            <w:r w:rsidRPr="0026447F">
              <w:rPr>
                <w:color w:val="C00000"/>
                <w:sz w:val="22"/>
                <w:szCs w:val="22"/>
              </w:rPr>
              <w:t>„EPL digitālā uzmērīšana” 200 m</w:t>
            </w:r>
          </w:p>
          <w:p w:rsidR="0026447F" w:rsidRPr="0026447F" w:rsidRDefault="0026447F" w:rsidP="00BF5828">
            <w:r w:rsidRPr="0026447F">
              <w:t xml:space="preserve"> </w:t>
            </w:r>
          </w:p>
        </w:tc>
      </w:tr>
      <w:tr w:rsidR="00050FD6"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050FD6" w:rsidRPr="0026447F" w:rsidRDefault="000B772E" w:rsidP="00BF5828">
            <w:pPr>
              <w:pStyle w:val="NoSpacing"/>
              <w:spacing w:before="40" w:after="40" w:line="276" w:lineRule="auto"/>
              <w:rPr>
                <w:b/>
                <w:color w:val="FF0000"/>
              </w:rPr>
            </w:pPr>
            <w:r w:rsidRPr="0026447F">
              <w:rPr>
                <w:b/>
                <w:color w:val="FF0000"/>
              </w:rPr>
              <w:t>Grozījums</w:t>
            </w:r>
          </w:p>
        </w:tc>
        <w:tc>
          <w:tcPr>
            <w:tcW w:w="7512" w:type="dxa"/>
            <w:tcBorders>
              <w:top w:val="single" w:sz="4" w:space="0" w:color="auto"/>
              <w:left w:val="single" w:sz="4" w:space="0" w:color="auto"/>
              <w:bottom w:val="single" w:sz="4" w:space="0" w:color="auto"/>
              <w:right w:val="single" w:sz="4" w:space="0" w:color="auto"/>
            </w:tcBorders>
          </w:tcPr>
          <w:p w:rsidR="003F1EE1" w:rsidRPr="00516C3A" w:rsidRDefault="00A07602" w:rsidP="003F1EE1">
            <w:pPr>
              <w:rPr>
                <w:sz w:val="22"/>
                <w:szCs w:val="22"/>
              </w:rPr>
            </w:pPr>
            <w:r w:rsidRPr="00516C3A">
              <w:rPr>
                <w:sz w:val="22"/>
                <w:szCs w:val="22"/>
              </w:rPr>
              <w:t xml:space="preserve">Veikt grozījumus </w:t>
            </w:r>
            <w:r w:rsidR="00756296" w:rsidRPr="00516C3A">
              <w:rPr>
                <w:sz w:val="22"/>
                <w:szCs w:val="22"/>
              </w:rPr>
              <w:t xml:space="preserve">12.pielikumā </w:t>
            </w:r>
            <w:r w:rsidR="003F1EE1" w:rsidRPr="00516C3A">
              <w:rPr>
                <w:sz w:val="22"/>
                <w:szCs w:val="22"/>
              </w:rPr>
              <w:t>„</w:t>
            </w:r>
            <w:r w:rsidR="003F1EE1" w:rsidRPr="00516C3A">
              <w:rPr>
                <w:bCs/>
                <w:sz w:val="22"/>
                <w:szCs w:val="22"/>
              </w:rPr>
              <w:t>Demontēto materiālu novietnes”</w:t>
            </w:r>
          </w:p>
          <w:p w:rsidR="00516C3A" w:rsidRPr="00516C3A" w:rsidRDefault="00A07602" w:rsidP="00516C3A">
            <w:pPr>
              <w:rPr>
                <w:sz w:val="22"/>
                <w:szCs w:val="22"/>
              </w:rPr>
            </w:pPr>
            <w:r w:rsidRPr="00516C3A">
              <w:rPr>
                <w:sz w:val="22"/>
                <w:szCs w:val="22"/>
              </w:rPr>
              <w:t xml:space="preserve"> </w:t>
            </w:r>
            <w:r w:rsidR="00516C3A" w:rsidRPr="00516C3A">
              <w:rPr>
                <w:sz w:val="22"/>
                <w:szCs w:val="22"/>
              </w:rPr>
              <w:t>„Pirmās ielas izbūve posmā no Ainažu ielas līdz A.Kalniņa ielai un Svētku ielas izbūve posmā no Vidrižu ielas līdz Bīriņu iela definētās krautuves” – skatīt 12.pielikumu</w:t>
            </w:r>
            <w:r w:rsidR="00516C3A">
              <w:rPr>
                <w:sz w:val="22"/>
                <w:szCs w:val="22"/>
              </w:rPr>
              <w:t>.</w:t>
            </w:r>
          </w:p>
          <w:p w:rsidR="00A07602" w:rsidRPr="00A07602" w:rsidRDefault="00A07602" w:rsidP="00A07602">
            <w:pPr>
              <w:rPr>
                <w:rFonts w:ascii="Calibri" w:hAnsi="Calibri"/>
                <w:color w:val="FF0000"/>
                <w:sz w:val="20"/>
                <w:szCs w:val="20"/>
              </w:rPr>
            </w:pPr>
          </w:p>
          <w:p w:rsidR="00A07602" w:rsidRDefault="00A07602" w:rsidP="00A07602">
            <w:pPr>
              <w:rPr>
                <w:rFonts w:ascii="Calibri" w:hAnsi="Calibri"/>
                <w:color w:val="FF0000"/>
                <w:sz w:val="20"/>
                <w:szCs w:val="20"/>
              </w:rPr>
            </w:pPr>
          </w:p>
          <w:p w:rsidR="00A07602" w:rsidRDefault="00A07602" w:rsidP="00A07602">
            <w:pPr>
              <w:rPr>
                <w:rFonts w:ascii="Calibri" w:hAnsi="Calibri"/>
                <w:color w:val="FF0000"/>
                <w:sz w:val="20"/>
                <w:szCs w:val="20"/>
              </w:rPr>
            </w:pPr>
          </w:p>
          <w:p w:rsidR="00756296" w:rsidRPr="003F1EE1" w:rsidRDefault="00756296" w:rsidP="00BF5828">
            <w:pPr>
              <w:rPr>
                <w:sz w:val="22"/>
                <w:szCs w:val="22"/>
              </w:rPr>
            </w:pPr>
          </w:p>
          <w:p w:rsidR="00756296" w:rsidRDefault="003F1EE1" w:rsidP="00756296">
            <w:pPr>
              <w:rPr>
                <w:rFonts w:ascii="Calibri" w:hAnsi="Calibri"/>
                <w:color w:val="FF0000"/>
                <w:sz w:val="20"/>
                <w:szCs w:val="20"/>
              </w:rPr>
            </w:pPr>
            <w:r>
              <w:rPr>
                <w:rFonts w:ascii="Calibri" w:hAnsi="Calibri"/>
                <w:strike/>
                <w:color w:val="FF0000"/>
                <w:sz w:val="20"/>
                <w:szCs w:val="20"/>
              </w:rPr>
              <w:t xml:space="preserve"> </w:t>
            </w:r>
          </w:p>
          <w:p w:rsidR="00050FD6" w:rsidRPr="0026447F" w:rsidRDefault="00050FD6" w:rsidP="00BF5828">
            <w:pPr>
              <w:rPr>
                <w:i/>
                <w:sz w:val="22"/>
                <w:szCs w:val="22"/>
              </w:rPr>
            </w:pPr>
          </w:p>
        </w:tc>
      </w:tr>
      <w:tr w:rsidR="0026447F" w:rsidRPr="00571F3D" w:rsidTr="00BF5828">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26447F" w:rsidRPr="0026447F" w:rsidRDefault="0026447F" w:rsidP="00BF5828">
            <w:pPr>
              <w:pStyle w:val="NoSpacing"/>
              <w:spacing w:before="40" w:after="40" w:line="276" w:lineRule="auto"/>
              <w:rPr>
                <w:b/>
                <w:color w:val="C00000"/>
              </w:rPr>
            </w:pPr>
          </w:p>
          <w:p w:rsidR="0026447F" w:rsidRPr="0026447F" w:rsidRDefault="0026447F" w:rsidP="00BF5828">
            <w:pPr>
              <w:pStyle w:val="NoSpacing"/>
              <w:spacing w:before="40" w:after="40" w:line="276" w:lineRule="auto"/>
              <w:rPr>
                <w:b/>
              </w:rPr>
            </w:pPr>
            <w:r w:rsidRPr="0026447F">
              <w:rPr>
                <w:b/>
                <w:color w:val="C00000"/>
              </w:rPr>
              <w:t>Grozījums</w:t>
            </w:r>
          </w:p>
        </w:tc>
        <w:tc>
          <w:tcPr>
            <w:tcW w:w="7512" w:type="dxa"/>
            <w:tcBorders>
              <w:top w:val="single" w:sz="4" w:space="0" w:color="auto"/>
              <w:left w:val="single" w:sz="4" w:space="0" w:color="auto"/>
              <w:bottom w:val="single" w:sz="4" w:space="0" w:color="auto"/>
              <w:right w:val="single" w:sz="4" w:space="0" w:color="auto"/>
            </w:tcBorders>
          </w:tcPr>
          <w:p w:rsidR="0026447F" w:rsidRPr="0026447F" w:rsidRDefault="0026447F" w:rsidP="00BF5828">
            <w:pPr>
              <w:pStyle w:val="ListParagraph1"/>
              <w:ind w:left="0"/>
              <w:contextualSpacing w:val="0"/>
              <w:jc w:val="both"/>
              <w:rPr>
                <w:i/>
                <w:sz w:val="22"/>
                <w:szCs w:val="22"/>
                <w:lang w:val="lv-LV"/>
              </w:rPr>
            </w:pPr>
            <w:r w:rsidRPr="0026447F">
              <w:rPr>
                <w:i/>
                <w:sz w:val="22"/>
                <w:szCs w:val="22"/>
              </w:rPr>
              <w:t xml:space="preserve">Pagarināt piedāvājumu iesniegšanas termiņu un izteikt atklāta konkursa nolikuma </w:t>
            </w:r>
            <w:r w:rsidRPr="0026447F">
              <w:rPr>
                <w:i/>
                <w:sz w:val="22"/>
                <w:szCs w:val="22"/>
                <w:lang w:val="lv-LV"/>
              </w:rPr>
              <w:t xml:space="preserve">29.punktu šādā redakcijā: </w:t>
            </w:r>
          </w:p>
          <w:p w:rsidR="0026447F" w:rsidRPr="0026447F" w:rsidRDefault="0026447F" w:rsidP="00BF5828">
            <w:pPr>
              <w:pStyle w:val="ListParagraph1"/>
              <w:ind w:left="0"/>
              <w:contextualSpacing w:val="0"/>
              <w:jc w:val="both"/>
              <w:rPr>
                <w:b/>
                <w:sz w:val="22"/>
                <w:szCs w:val="22"/>
                <w:lang w:val="lv-LV"/>
              </w:rPr>
            </w:pPr>
            <w:r w:rsidRPr="0026447F">
              <w:rPr>
                <w:b/>
                <w:sz w:val="22"/>
                <w:szCs w:val="22"/>
                <w:lang w:val="lv-LV"/>
              </w:rPr>
              <w:t>29.Piedāvājumu iesniegšana:</w:t>
            </w:r>
          </w:p>
          <w:p w:rsidR="0026447F" w:rsidRPr="0026447F" w:rsidRDefault="0026447F" w:rsidP="00BF5828">
            <w:pPr>
              <w:pStyle w:val="ListParagraph"/>
              <w:ind w:left="0"/>
              <w:contextualSpacing w:val="0"/>
              <w:jc w:val="both"/>
              <w:rPr>
                <w:color w:val="C00000"/>
                <w:sz w:val="22"/>
                <w:szCs w:val="22"/>
              </w:rPr>
            </w:pPr>
            <w:r w:rsidRPr="0026447F">
              <w:rPr>
                <w:b/>
                <w:sz w:val="22"/>
                <w:szCs w:val="22"/>
              </w:rPr>
              <w:t>29.1.Piedāvājumu iesniegšanas termiņš:</w:t>
            </w:r>
            <w:r w:rsidRPr="0026447F">
              <w:rPr>
                <w:sz w:val="22"/>
                <w:szCs w:val="22"/>
              </w:rPr>
              <w:t xml:space="preserve"> </w:t>
            </w:r>
            <w:r w:rsidRPr="0026447F">
              <w:rPr>
                <w:b/>
                <w:sz w:val="22"/>
                <w:szCs w:val="22"/>
              </w:rPr>
              <w:t xml:space="preserve">līdz </w:t>
            </w:r>
            <w:r w:rsidRPr="0026447F">
              <w:rPr>
                <w:b/>
                <w:color w:val="C00000"/>
                <w:sz w:val="22"/>
                <w:szCs w:val="22"/>
              </w:rPr>
              <w:t>2018. gada 12.martam, plkst. 11.00</w:t>
            </w:r>
          </w:p>
          <w:p w:rsidR="0026447F" w:rsidRPr="0026447F" w:rsidRDefault="0026447F" w:rsidP="00BF5828">
            <w:pPr>
              <w:pStyle w:val="ListParagraph"/>
              <w:ind w:left="0"/>
              <w:contextualSpacing w:val="0"/>
              <w:jc w:val="both"/>
              <w:rPr>
                <w:sz w:val="22"/>
                <w:szCs w:val="22"/>
              </w:rPr>
            </w:pPr>
            <w:r w:rsidRPr="0026447F">
              <w:rPr>
                <w:sz w:val="22"/>
                <w:szCs w:val="22"/>
              </w:rPr>
              <w:t xml:space="preserve">29.2. </w:t>
            </w:r>
            <w:r w:rsidRPr="0026447F">
              <w:rPr>
                <w:kern w:val="22"/>
                <w:sz w:val="22"/>
                <w:szCs w:val="22"/>
                <w:lang w:eastAsia="ar-SA"/>
              </w:rPr>
              <w:t xml:space="preserve">Pretendentam piedāvājums jāiesniedz 2 (divos) eksemplāros, viens eksemplārs ar norādi – </w:t>
            </w:r>
            <w:r w:rsidRPr="0026447F">
              <w:rPr>
                <w:b/>
                <w:kern w:val="22"/>
                <w:sz w:val="22"/>
                <w:szCs w:val="22"/>
                <w:lang w:eastAsia="ar-SA"/>
              </w:rPr>
              <w:t>„ORIĢINĀLS”,</w:t>
            </w:r>
            <w:r w:rsidRPr="0026447F">
              <w:rPr>
                <w:kern w:val="22"/>
                <w:sz w:val="22"/>
                <w:szCs w:val="22"/>
                <w:lang w:eastAsia="ar-SA"/>
              </w:rPr>
              <w:t xml:space="preserve"> otrs eksemplārs – </w:t>
            </w:r>
            <w:r w:rsidRPr="0026447F">
              <w:rPr>
                <w:b/>
                <w:sz w:val="22"/>
                <w:szCs w:val="22"/>
              </w:rPr>
              <w:t xml:space="preserve">piedāvājuma KOPIJA drukātā veidā vai ieskenētā </w:t>
            </w:r>
            <w:proofErr w:type="spellStart"/>
            <w:r w:rsidRPr="0026447F">
              <w:rPr>
                <w:b/>
                <w:i/>
                <w:sz w:val="22"/>
                <w:szCs w:val="22"/>
              </w:rPr>
              <w:t>pdf</w:t>
            </w:r>
            <w:proofErr w:type="spellEnd"/>
            <w:r w:rsidRPr="0026447F">
              <w:rPr>
                <w:b/>
                <w:sz w:val="22"/>
                <w:szCs w:val="22"/>
              </w:rPr>
              <w:t xml:space="preserve"> formātā</w:t>
            </w:r>
            <w:r w:rsidRPr="0026447F">
              <w:rPr>
                <w:sz w:val="22"/>
                <w:szCs w:val="22"/>
              </w:rPr>
              <w:t xml:space="preserve"> uz elektroniskā datu nesēja (CD vai USB zibatmiņā).</w:t>
            </w:r>
          </w:p>
          <w:p w:rsidR="0026447F" w:rsidRPr="0026447F" w:rsidRDefault="0026447F" w:rsidP="00BF5828">
            <w:pPr>
              <w:pStyle w:val="ListParagraph"/>
              <w:ind w:left="0"/>
              <w:contextualSpacing w:val="0"/>
              <w:jc w:val="both"/>
              <w:rPr>
                <w:sz w:val="22"/>
                <w:szCs w:val="22"/>
              </w:rPr>
            </w:pPr>
            <w:r w:rsidRPr="0026447F">
              <w:rPr>
                <w:sz w:val="22"/>
                <w:szCs w:val="22"/>
              </w:rPr>
              <w:t>29.3.Piedāvājumam jābūt sašūtam vienā sējumā.</w:t>
            </w:r>
          </w:p>
          <w:p w:rsidR="0026447F" w:rsidRPr="0026447F" w:rsidRDefault="0026447F" w:rsidP="00BF5828">
            <w:pPr>
              <w:pStyle w:val="ListParagraph"/>
              <w:ind w:left="0"/>
              <w:contextualSpacing w:val="0"/>
              <w:jc w:val="both"/>
              <w:rPr>
                <w:sz w:val="22"/>
                <w:szCs w:val="22"/>
              </w:rPr>
            </w:pPr>
            <w:r w:rsidRPr="0026447F">
              <w:rPr>
                <w:sz w:val="22"/>
                <w:szCs w:val="22"/>
              </w:rPr>
              <w:t>29.4.Pretendents piedāvājumu iesaiņo un iesniedz aizlīmētā iepakojumā, uz kura norāda:</w:t>
            </w:r>
          </w:p>
          <w:p w:rsidR="0026447F" w:rsidRPr="0026447F" w:rsidRDefault="0026447F" w:rsidP="0026447F">
            <w:pPr>
              <w:pStyle w:val="ListParagraph1"/>
              <w:numPr>
                <w:ilvl w:val="0"/>
                <w:numId w:val="4"/>
              </w:numPr>
              <w:ind w:left="1418" w:hanging="425"/>
              <w:jc w:val="both"/>
              <w:rPr>
                <w:sz w:val="22"/>
                <w:szCs w:val="22"/>
                <w:lang w:val="lv-LV"/>
              </w:rPr>
            </w:pPr>
            <w:r w:rsidRPr="0026447F">
              <w:rPr>
                <w:sz w:val="22"/>
                <w:szCs w:val="22"/>
                <w:lang w:val="lv-LV"/>
              </w:rPr>
              <w:t>Pasūtītāja nosaukumu un juridisko adresi;</w:t>
            </w:r>
          </w:p>
          <w:p w:rsidR="0026447F" w:rsidRPr="0026447F" w:rsidRDefault="0026447F" w:rsidP="0026447F">
            <w:pPr>
              <w:pStyle w:val="ListParagraph1"/>
              <w:numPr>
                <w:ilvl w:val="0"/>
                <w:numId w:val="4"/>
              </w:numPr>
              <w:ind w:left="1418" w:hanging="425"/>
              <w:jc w:val="both"/>
              <w:rPr>
                <w:sz w:val="22"/>
                <w:szCs w:val="22"/>
                <w:lang w:val="lv-LV"/>
              </w:rPr>
            </w:pPr>
            <w:r w:rsidRPr="0026447F">
              <w:rPr>
                <w:sz w:val="22"/>
                <w:szCs w:val="22"/>
                <w:lang w:val="lv-LV"/>
              </w:rPr>
              <w:t>Pretendenta nosaukumu, reģistrācijas numuru un juridisko adresi;</w:t>
            </w:r>
          </w:p>
          <w:p w:rsidR="0026447F" w:rsidRPr="0026447F" w:rsidRDefault="0026447F" w:rsidP="0026447F">
            <w:pPr>
              <w:pStyle w:val="ListParagraph1"/>
              <w:numPr>
                <w:ilvl w:val="0"/>
                <w:numId w:val="4"/>
              </w:numPr>
              <w:ind w:left="1418" w:hanging="425"/>
              <w:jc w:val="both"/>
              <w:rPr>
                <w:sz w:val="22"/>
                <w:szCs w:val="22"/>
                <w:lang w:val="lv-LV"/>
              </w:rPr>
            </w:pPr>
            <w:r w:rsidRPr="0026447F">
              <w:rPr>
                <w:sz w:val="22"/>
                <w:szCs w:val="22"/>
                <w:lang w:val="lv-LV"/>
              </w:rPr>
              <w:t>Pretendenta kontaktpersonu (vārds uzvārds un kontaktinformācija);</w:t>
            </w:r>
          </w:p>
          <w:p w:rsidR="0026447F" w:rsidRPr="0026447F" w:rsidRDefault="0026447F" w:rsidP="0026447F">
            <w:pPr>
              <w:pStyle w:val="ListParagraph1"/>
              <w:numPr>
                <w:ilvl w:val="0"/>
                <w:numId w:val="4"/>
              </w:numPr>
              <w:ind w:left="1418" w:hanging="425"/>
              <w:jc w:val="both"/>
              <w:rPr>
                <w:sz w:val="22"/>
                <w:szCs w:val="22"/>
                <w:lang w:val="lv-LV"/>
              </w:rPr>
            </w:pPr>
            <w:r w:rsidRPr="0026447F">
              <w:rPr>
                <w:sz w:val="22"/>
                <w:szCs w:val="22"/>
                <w:lang w:val="lv-LV"/>
              </w:rPr>
              <w:t>Atzīmi:</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sz w:val="22"/>
                <w:szCs w:val="22"/>
                <w:lang w:val="lv-LV"/>
              </w:rPr>
            </w:pPr>
            <w:r w:rsidRPr="0026447F">
              <w:rPr>
                <w:sz w:val="22"/>
                <w:szCs w:val="22"/>
                <w:lang w:val="lv-LV"/>
              </w:rPr>
              <w:t>Saulkrastu novada pašvaldības</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sz w:val="22"/>
                <w:szCs w:val="22"/>
                <w:lang w:val="lv-LV"/>
              </w:rPr>
            </w:pPr>
            <w:r w:rsidRPr="0026447F">
              <w:rPr>
                <w:sz w:val="22"/>
                <w:szCs w:val="22"/>
                <w:lang w:val="lv-LV"/>
              </w:rPr>
              <w:t>Iepirkumu komisijai</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sz w:val="22"/>
                <w:szCs w:val="22"/>
                <w:lang w:val="lv-LV"/>
              </w:rPr>
            </w:pPr>
            <w:r w:rsidRPr="0026447F">
              <w:rPr>
                <w:sz w:val="22"/>
                <w:szCs w:val="22"/>
                <w:lang w:val="lv-LV"/>
              </w:rPr>
              <w:t>Raiņa ielā 8, Saulkrastos, LV-2160</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rPr>
                <w:b/>
                <w:sz w:val="22"/>
                <w:szCs w:val="22"/>
                <w:lang w:val="lv-LV"/>
              </w:rPr>
            </w:pP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r w:rsidRPr="0026447F">
              <w:rPr>
                <w:b/>
                <w:sz w:val="22"/>
                <w:szCs w:val="22"/>
                <w:lang w:val="lv-LV"/>
              </w:rPr>
              <w:t>Piedāvājums atklātam konkursam</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r w:rsidRPr="0026447F">
              <w:rPr>
                <w:b/>
                <w:sz w:val="22"/>
                <w:szCs w:val="22"/>
                <w:lang w:val="lv-LV"/>
              </w:rPr>
              <w:t xml:space="preserve">„Sešu ielu pārbūve un divu ielu izbūve Saulkrastu novadā” </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r w:rsidRPr="0026447F">
              <w:rPr>
                <w:b/>
                <w:sz w:val="22"/>
                <w:szCs w:val="22"/>
                <w:lang w:val="lv-LV"/>
              </w:rPr>
              <w:t>ar ID NR. SND 2018/1/ERAF</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jc w:val="center"/>
              <w:rPr>
                <w:b/>
                <w:color w:val="C00000"/>
                <w:sz w:val="22"/>
                <w:szCs w:val="22"/>
                <w:lang w:val="lv-LV"/>
              </w:rPr>
            </w:pPr>
            <w:r w:rsidRPr="0026447F">
              <w:rPr>
                <w:b/>
                <w:color w:val="C00000"/>
                <w:sz w:val="22"/>
                <w:szCs w:val="22"/>
                <w:lang w:val="lv-LV"/>
              </w:rPr>
              <w:t>Neatvērt līdz 2018. gada 12.martam plkst. 11:00”</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rPr>
                <w:i/>
                <w:sz w:val="22"/>
                <w:szCs w:val="22"/>
                <w:lang w:val="lv-LV"/>
              </w:rPr>
            </w:pPr>
            <w:r w:rsidRPr="0026447F">
              <w:rPr>
                <w:i/>
                <w:sz w:val="22"/>
                <w:szCs w:val="22"/>
                <w:lang w:val="lv-LV"/>
              </w:rPr>
              <w:t>Pretendenta nosaukums, reģistrācijas numurs, juridiskā adrese</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rPr>
                <w:b/>
                <w:sz w:val="22"/>
                <w:szCs w:val="22"/>
                <w:lang w:val="lv-LV"/>
              </w:rPr>
            </w:pPr>
            <w:r w:rsidRPr="0026447F">
              <w:rPr>
                <w:i/>
                <w:sz w:val="22"/>
                <w:szCs w:val="22"/>
                <w:lang w:val="lv-LV"/>
              </w:rPr>
              <w:t>Kontaktpersonas vārds, uzvārds, tālruņa numurs, e-pasta adrese</w:t>
            </w:r>
          </w:p>
          <w:p w:rsidR="0026447F" w:rsidRPr="0026447F" w:rsidRDefault="0026447F" w:rsidP="00BF5828">
            <w:pPr>
              <w:pStyle w:val="ListParagraph1"/>
              <w:pBdr>
                <w:top w:val="single" w:sz="4" w:space="1" w:color="auto"/>
                <w:left w:val="single" w:sz="4" w:space="4" w:color="auto"/>
                <w:bottom w:val="single" w:sz="4" w:space="1" w:color="auto"/>
                <w:right w:val="single" w:sz="4" w:space="4" w:color="auto"/>
              </w:pBdr>
              <w:ind w:left="993"/>
              <w:rPr>
                <w:b/>
                <w:sz w:val="22"/>
                <w:szCs w:val="22"/>
                <w:lang w:val="lv-LV"/>
              </w:rPr>
            </w:pPr>
          </w:p>
          <w:p w:rsidR="0026447F" w:rsidRPr="0026447F" w:rsidRDefault="0026447F" w:rsidP="00BF5828">
            <w:pPr>
              <w:pStyle w:val="BodyText1"/>
              <w:shd w:val="clear" w:color="auto" w:fill="auto"/>
              <w:spacing w:after="358" w:line="200" w:lineRule="exact"/>
              <w:jc w:val="left"/>
              <w:rPr>
                <w:rFonts w:ascii="Times New Roman" w:hAnsi="Times New Roman" w:cs="Times New Roman"/>
                <w:i/>
              </w:rPr>
            </w:pPr>
          </w:p>
          <w:p w:rsidR="0026447F" w:rsidRPr="0026447F" w:rsidRDefault="0026447F" w:rsidP="00BF5828">
            <w:pPr>
              <w:pStyle w:val="BodyText1"/>
              <w:shd w:val="clear" w:color="auto" w:fill="auto"/>
              <w:spacing w:after="0" w:line="200" w:lineRule="exact"/>
              <w:jc w:val="left"/>
              <w:rPr>
                <w:rFonts w:ascii="Times New Roman" w:hAnsi="Times New Roman" w:cs="Times New Roman"/>
                <w:i/>
              </w:rPr>
            </w:pPr>
            <w:r w:rsidRPr="0026447F">
              <w:rPr>
                <w:rFonts w:ascii="Times New Roman" w:hAnsi="Times New Roman" w:cs="Times New Roman"/>
                <w:i/>
              </w:rPr>
              <w:t xml:space="preserve">un 30.punktu šādā redakcija: </w:t>
            </w:r>
          </w:p>
          <w:p w:rsidR="0026447F" w:rsidRPr="0026447F" w:rsidRDefault="0026447F" w:rsidP="00BF5828">
            <w:pPr>
              <w:pStyle w:val="BodyText1"/>
              <w:shd w:val="clear" w:color="auto" w:fill="auto"/>
              <w:spacing w:after="0" w:line="200" w:lineRule="exact"/>
              <w:jc w:val="left"/>
              <w:rPr>
                <w:rFonts w:ascii="Times New Roman" w:hAnsi="Times New Roman" w:cs="Times New Roman"/>
                <w:i/>
              </w:rPr>
            </w:pPr>
            <w:r w:rsidRPr="0026447F">
              <w:rPr>
                <w:rFonts w:ascii="Times New Roman" w:hAnsi="Times New Roman" w:cs="Times New Roman"/>
                <w:b/>
              </w:rPr>
              <w:t>30.Piedāvājumu atvēršana:</w:t>
            </w:r>
          </w:p>
          <w:p w:rsidR="0026447F" w:rsidRPr="0026447F" w:rsidRDefault="0026447F" w:rsidP="0026447F">
            <w:pPr>
              <w:pStyle w:val="ListParagraph1"/>
              <w:numPr>
                <w:ilvl w:val="1"/>
                <w:numId w:val="5"/>
              </w:numPr>
              <w:contextualSpacing w:val="0"/>
              <w:jc w:val="both"/>
              <w:rPr>
                <w:sz w:val="22"/>
                <w:szCs w:val="22"/>
                <w:lang w:val="lv-LV"/>
              </w:rPr>
            </w:pPr>
            <w:r w:rsidRPr="0026447F">
              <w:rPr>
                <w:sz w:val="22"/>
                <w:szCs w:val="22"/>
                <w:lang w:val="lv-LV"/>
              </w:rPr>
              <w:t xml:space="preserve">Piedāvājumu atvēršana notiks </w:t>
            </w:r>
            <w:r w:rsidRPr="0026447F">
              <w:rPr>
                <w:b/>
                <w:color w:val="C00000"/>
                <w:sz w:val="22"/>
                <w:szCs w:val="22"/>
                <w:lang w:val="lv-LV"/>
              </w:rPr>
              <w:t>2018. gada 12.martā,</w:t>
            </w:r>
            <w:r w:rsidRPr="0026447F">
              <w:rPr>
                <w:color w:val="C00000"/>
                <w:sz w:val="22"/>
                <w:szCs w:val="22"/>
                <w:lang w:val="lv-LV"/>
              </w:rPr>
              <w:t xml:space="preserve"> </w:t>
            </w:r>
            <w:r w:rsidRPr="0026447F">
              <w:rPr>
                <w:b/>
                <w:color w:val="C00000"/>
                <w:sz w:val="22"/>
                <w:szCs w:val="22"/>
                <w:lang w:val="lv-LV"/>
              </w:rPr>
              <w:t>plkst.11.00</w:t>
            </w:r>
            <w:r w:rsidRPr="0026447F">
              <w:rPr>
                <w:color w:val="C00000"/>
                <w:sz w:val="22"/>
                <w:szCs w:val="22"/>
                <w:lang w:val="lv-LV"/>
              </w:rPr>
              <w:t xml:space="preserve">, </w:t>
            </w:r>
            <w:r w:rsidRPr="0026447F">
              <w:rPr>
                <w:b/>
                <w:color w:val="C00000"/>
                <w:sz w:val="22"/>
                <w:szCs w:val="22"/>
                <w:lang w:val="lv-LV"/>
              </w:rPr>
              <w:t>Saulkrastu novada domē, Raiņa ielā 8, Saulkrastos, 202. kabinetā</w:t>
            </w:r>
            <w:r w:rsidRPr="0026447F">
              <w:rPr>
                <w:b/>
                <w:sz w:val="22"/>
                <w:szCs w:val="22"/>
                <w:lang w:val="lv-LV"/>
              </w:rPr>
              <w:t>.</w:t>
            </w:r>
          </w:p>
          <w:p w:rsidR="0026447F" w:rsidRPr="0026447F" w:rsidRDefault="0026447F" w:rsidP="00BF5828">
            <w:pPr>
              <w:pStyle w:val="BodyText1"/>
              <w:shd w:val="clear" w:color="auto" w:fill="auto"/>
              <w:spacing w:after="358" w:line="200" w:lineRule="exact"/>
              <w:jc w:val="left"/>
              <w:rPr>
                <w:rFonts w:ascii="Times New Roman" w:hAnsi="Times New Roman" w:cs="Times New Roman"/>
                <w:i/>
              </w:rPr>
            </w:pPr>
          </w:p>
        </w:tc>
      </w:tr>
    </w:tbl>
    <w:p w:rsidR="0026447F" w:rsidRDefault="0026447F" w:rsidP="0026447F">
      <w:pPr>
        <w:jc w:val="both"/>
      </w:pPr>
    </w:p>
    <w:p w:rsidR="0026447F" w:rsidRDefault="0026447F" w:rsidP="006D1956">
      <w:pPr>
        <w:ind w:right="-874"/>
        <w:jc w:val="both"/>
        <w:rPr>
          <w:b/>
          <w:i/>
          <w:iCs/>
          <w:sz w:val="22"/>
          <w:szCs w:val="22"/>
        </w:rPr>
      </w:pPr>
    </w:p>
    <w:sectPr w:rsidR="0026447F"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D3"/>
    <w:rsid w:val="00050FD6"/>
    <w:rsid w:val="000A268E"/>
    <w:rsid w:val="000B772E"/>
    <w:rsid w:val="001C7361"/>
    <w:rsid w:val="0026447F"/>
    <w:rsid w:val="002F149B"/>
    <w:rsid w:val="003138E5"/>
    <w:rsid w:val="00344092"/>
    <w:rsid w:val="003F1EE1"/>
    <w:rsid w:val="004623A0"/>
    <w:rsid w:val="00516C3A"/>
    <w:rsid w:val="005560C4"/>
    <w:rsid w:val="006C77CE"/>
    <w:rsid w:val="006D1956"/>
    <w:rsid w:val="00702931"/>
    <w:rsid w:val="00756296"/>
    <w:rsid w:val="00770320"/>
    <w:rsid w:val="007916C1"/>
    <w:rsid w:val="007E21D6"/>
    <w:rsid w:val="007E4A3C"/>
    <w:rsid w:val="008F2BAD"/>
    <w:rsid w:val="009B2585"/>
    <w:rsid w:val="00A07602"/>
    <w:rsid w:val="00AB2777"/>
    <w:rsid w:val="00AB42E5"/>
    <w:rsid w:val="00B316C9"/>
    <w:rsid w:val="00B45DD3"/>
    <w:rsid w:val="00BB5053"/>
    <w:rsid w:val="00C3017B"/>
    <w:rsid w:val="00C46349"/>
    <w:rsid w:val="00D211F5"/>
    <w:rsid w:val="00D60B0A"/>
    <w:rsid w:val="00DD70AA"/>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Saistīto dokumentu saraksts,Syle 1"/>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aliases w:val="H&amp;P List Paragraph Char,2 Char,Strip Char,Colorful List - Accent 12 Char,Saistīto dokumentu saraksts Char,Syle 1 Char"/>
    <w:link w:val="ListParagraph"/>
    <w:uiPriority w:val="99"/>
    <w:qFormat/>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paragraph" w:customStyle="1" w:styleId="BodyText2">
    <w:name w:val="Body Text2"/>
    <w:basedOn w:val="Normal"/>
    <w:rsid w:val="0026447F"/>
    <w:pPr>
      <w:widowControl w:val="0"/>
      <w:shd w:val="clear" w:color="auto" w:fill="FFFFFF"/>
      <w:spacing w:before="180" w:after="180" w:line="250" w:lineRule="exact"/>
      <w:ind w:hanging="720"/>
    </w:pPr>
    <w:rPr>
      <w:color w:val="000000"/>
      <w:sz w:val="21"/>
      <w:szCs w:val="21"/>
      <w:lang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Saistīto dokumentu saraksts,Syle 1"/>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aliases w:val="H&amp;P List Paragraph Char,2 Char,Strip Char,Colorful List - Accent 12 Char,Saistīto dokumentu saraksts Char,Syle 1 Char"/>
    <w:link w:val="ListParagraph"/>
    <w:uiPriority w:val="99"/>
    <w:qFormat/>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paragraph" w:customStyle="1" w:styleId="BodyText2">
    <w:name w:val="Body Text2"/>
    <w:basedOn w:val="Normal"/>
    <w:rsid w:val="0026447F"/>
    <w:pPr>
      <w:widowControl w:val="0"/>
      <w:shd w:val="clear" w:color="auto" w:fill="FFFFFF"/>
      <w:spacing w:before="180" w:after="180" w:line="250" w:lineRule="exact"/>
      <w:ind w:hanging="720"/>
    </w:pPr>
    <w:rPr>
      <w:color w:val="000000"/>
      <w:sz w:val="21"/>
      <w:szCs w:val="21"/>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576">
      <w:bodyDiv w:val="1"/>
      <w:marLeft w:val="0"/>
      <w:marRight w:val="0"/>
      <w:marTop w:val="0"/>
      <w:marBottom w:val="0"/>
      <w:divBdr>
        <w:top w:val="none" w:sz="0" w:space="0" w:color="auto"/>
        <w:left w:val="none" w:sz="0" w:space="0" w:color="auto"/>
        <w:bottom w:val="none" w:sz="0" w:space="0" w:color="auto"/>
        <w:right w:val="none" w:sz="0" w:space="0" w:color="auto"/>
      </w:divBdr>
    </w:div>
    <w:div w:id="234094735">
      <w:bodyDiv w:val="1"/>
      <w:marLeft w:val="0"/>
      <w:marRight w:val="0"/>
      <w:marTop w:val="0"/>
      <w:marBottom w:val="0"/>
      <w:divBdr>
        <w:top w:val="none" w:sz="0" w:space="0" w:color="auto"/>
        <w:left w:val="none" w:sz="0" w:space="0" w:color="auto"/>
        <w:bottom w:val="none" w:sz="0" w:space="0" w:color="auto"/>
        <w:right w:val="none" w:sz="0" w:space="0" w:color="auto"/>
      </w:divBdr>
    </w:div>
    <w:div w:id="397243374">
      <w:bodyDiv w:val="1"/>
      <w:marLeft w:val="0"/>
      <w:marRight w:val="0"/>
      <w:marTop w:val="0"/>
      <w:marBottom w:val="0"/>
      <w:divBdr>
        <w:top w:val="none" w:sz="0" w:space="0" w:color="auto"/>
        <w:left w:val="none" w:sz="0" w:space="0" w:color="auto"/>
        <w:bottom w:val="none" w:sz="0" w:space="0" w:color="auto"/>
        <w:right w:val="none" w:sz="0" w:space="0" w:color="auto"/>
      </w:divBdr>
    </w:div>
    <w:div w:id="467236877">
      <w:bodyDiv w:val="1"/>
      <w:marLeft w:val="0"/>
      <w:marRight w:val="0"/>
      <w:marTop w:val="0"/>
      <w:marBottom w:val="0"/>
      <w:divBdr>
        <w:top w:val="none" w:sz="0" w:space="0" w:color="auto"/>
        <w:left w:val="none" w:sz="0" w:space="0" w:color="auto"/>
        <w:bottom w:val="none" w:sz="0" w:space="0" w:color="auto"/>
        <w:right w:val="none" w:sz="0" w:space="0" w:color="auto"/>
      </w:divBdr>
    </w:div>
    <w:div w:id="534733297">
      <w:bodyDiv w:val="1"/>
      <w:marLeft w:val="0"/>
      <w:marRight w:val="0"/>
      <w:marTop w:val="0"/>
      <w:marBottom w:val="0"/>
      <w:divBdr>
        <w:top w:val="none" w:sz="0" w:space="0" w:color="auto"/>
        <w:left w:val="none" w:sz="0" w:space="0" w:color="auto"/>
        <w:bottom w:val="none" w:sz="0" w:space="0" w:color="auto"/>
        <w:right w:val="none" w:sz="0" w:space="0" w:color="auto"/>
      </w:divBdr>
    </w:div>
    <w:div w:id="1007906318">
      <w:bodyDiv w:val="1"/>
      <w:marLeft w:val="0"/>
      <w:marRight w:val="0"/>
      <w:marTop w:val="0"/>
      <w:marBottom w:val="0"/>
      <w:divBdr>
        <w:top w:val="none" w:sz="0" w:space="0" w:color="auto"/>
        <w:left w:val="none" w:sz="0" w:space="0" w:color="auto"/>
        <w:bottom w:val="none" w:sz="0" w:space="0" w:color="auto"/>
        <w:right w:val="none" w:sz="0" w:space="0" w:color="auto"/>
      </w:divBdr>
    </w:div>
    <w:div w:id="1112941345">
      <w:bodyDiv w:val="1"/>
      <w:marLeft w:val="0"/>
      <w:marRight w:val="0"/>
      <w:marTop w:val="0"/>
      <w:marBottom w:val="0"/>
      <w:divBdr>
        <w:top w:val="none" w:sz="0" w:space="0" w:color="auto"/>
        <w:left w:val="none" w:sz="0" w:space="0" w:color="auto"/>
        <w:bottom w:val="none" w:sz="0" w:space="0" w:color="auto"/>
        <w:right w:val="none" w:sz="0" w:space="0" w:color="auto"/>
      </w:divBdr>
    </w:div>
    <w:div w:id="1302151406">
      <w:bodyDiv w:val="1"/>
      <w:marLeft w:val="0"/>
      <w:marRight w:val="0"/>
      <w:marTop w:val="0"/>
      <w:marBottom w:val="0"/>
      <w:divBdr>
        <w:top w:val="none" w:sz="0" w:space="0" w:color="auto"/>
        <w:left w:val="none" w:sz="0" w:space="0" w:color="auto"/>
        <w:bottom w:val="none" w:sz="0" w:space="0" w:color="auto"/>
        <w:right w:val="none" w:sz="0" w:space="0" w:color="auto"/>
      </w:divBdr>
    </w:div>
    <w:div w:id="1663435996">
      <w:bodyDiv w:val="1"/>
      <w:marLeft w:val="0"/>
      <w:marRight w:val="0"/>
      <w:marTop w:val="0"/>
      <w:marBottom w:val="0"/>
      <w:divBdr>
        <w:top w:val="none" w:sz="0" w:space="0" w:color="auto"/>
        <w:left w:val="none" w:sz="0" w:space="0" w:color="auto"/>
        <w:bottom w:val="none" w:sz="0" w:space="0" w:color="auto"/>
        <w:right w:val="none" w:sz="0" w:space="0" w:color="auto"/>
      </w:divBdr>
    </w:div>
    <w:div w:id="17877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hyperlink" Target="https://likumi.lv/ta/id/287760-publisko-iepirkumu-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ulkrasti.lv/wp-content/uploads/2016/12/SN_14_ielu_nosaukumi_un_ku_numurzimes_26.06.2015.pdf" TargetMode="External"/><Relationship Id="rId4" Type="http://schemas.microsoft.com/office/2007/relationships/stylesWithEffects" Target="stylesWithEffect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093F-9978-4325-95A8-7331A085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8431</Words>
  <Characters>4807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2018-02-22T08:50:00Z</cp:lastPrinted>
  <dcterms:created xsi:type="dcterms:W3CDTF">2018-02-06T09:59:00Z</dcterms:created>
  <dcterms:modified xsi:type="dcterms:W3CDTF">2018-02-23T07:03:00Z</dcterms:modified>
</cp:coreProperties>
</file>