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A7" w:rsidRPr="00AC4521" w:rsidRDefault="000D55A7" w:rsidP="000D55A7">
      <w:pPr>
        <w:ind w:right="659"/>
        <w:jc w:val="right"/>
        <w:rPr>
          <w:b/>
          <w:sz w:val="20"/>
          <w:szCs w:val="20"/>
        </w:rPr>
      </w:pPr>
      <w:r w:rsidRPr="00AC4521">
        <w:rPr>
          <w:b/>
          <w:sz w:val="20"/>
          <w:szCs w:val="20"/>
        </w:rPr>
        <w:t>APSTIPRINĀTS</w:t>
      </w:r>
    </w:p>
    <w:p w:rsidR="000D55A7" w:rsidRPr="00AC4521" w:rsidRDefault="000D55A7" w:rsidP="000D55A7">
      <w:pPr>
        <w:ind w:right="659"/>
        <w:jc w:val="right"/>
        <w:rPr>
          <w:sz w:val="20"/>
          <w:szCs w:val="20"/>
        </w:rPr>
      </w:pPr>
      <w:r>
        <w:rPr>
          <w:sz w:val="20"/>
          <w:szCs w:val="20"/>
        </w:rPr>
        <w:t>2018</w:t>
      </w:r>
      <w:r w:rsidRPr="00AC4521">
        <w:rPr>
          <w:sz w:val="20"/>
          <w:szCs w:val="20"/>
        </w:rPr>
        <w:t>.</w:t>
      </w:r>
      <w:r w:rsidR="002D5E17" w:rsidRPr="00F35AB7">
        <w:rPr>
          <w:sz w:val="20"/>
          <w:szCs w:val="20"/>
        </w:rPr>
        <w:t>gada 28</w:t>
      </w:r>
      <w:r w:rsidRPr="00F35AB7">
        <w:rPr>
          <w:sz w:val="20"/>
          <w:szCs w:val="20"/>
        </w:rPr>
        <w:t>. februāra</w:t>
      </w:r>
    </w:p>
    <w:p w:rsidR="000D55A7" w:rsidRPr="00AC4521" w:rsidRDefault="000D55A7" w:rsidP="000D55A7">
      <w:pPr>
        <w:ind w:right="659"/>
        <w:jc w:val="right"/>
        <w:rPr>
          <w:sz w:val="20"/>
          <w:szCs w:val="20"/>
        </w:rPr>
      </w:pPr>
      <w:r w:rsidRPr="00AC4521">
        <w:rPr>
          <w:sz w:val="20"/>
          <w:szCs w:val="20"/>
        </w:rPr>
        <w:t xml:space="preserve">              Iepirkumu komisijas sēdē </w:t>
      </w:r>
    </w:p>
    <w:p w:rsidR="000D55A7" w:rsidRPr="00AC4521" w:rsidRDefault="00F35AB7" w:rsidP="000D55A7">
      <w:pPr>
        <w:ind w:right="659"/>
        <w:jc w:val="right"/>
        <w:rPr>
          <w:sz w:val="20"/>
          <w:szCs w:val="20"/>
        </w:rPr>
      </w:pPr>
      <w:r>
        <w:rPr>
          <w:sz w:val="20"/>
          <w:szCs w:val="20"/>
        </w:rPr>
        <w:t xml:space="preserve"> (protokols Nr.5</w:t>
      </w:r>
      <w:r w:rsidR="000D55A7" w:rsidRPr="00AC4521">
        <w:rPr>
          <w:sz w:val="20"/>
          <w:szCs w:val="20"/>
        </w:rPr>
        <w:t>)</w:t>
      </w:r>
    </w:p>
    <w:p w:rsidR="000D55A7" w:rsidRPr="00AC4521" w:rsidRDefault="000D55A7" w:rsidP="000D55A7">
      <w:pPr>
        <w:rPr>
          <w:sz w:val="20"/>
          <w:szCs w:val="20"/>
        </w:rPr>
      </w:pPr>
    </w:p>
    <w:p w:rsidR="000D55A7" w:rsidRDefault="000D55A7" w:rsidP="000D55A7">
      <w:pPr>
        <w:tabs>
          <w:tab w:val="left" w:pos="426"/>
        </w:tabs>
        <w:jc w:val="both"/>
        <w:rPr>
          <w:sz w:val="22"/>
          <w:szCs w:val="22"/>
        </w:rPr>
      </w:pPr>
    </w:p>
    <w:p w:rsidR="000D55A7" w:rsidRPr="00D211F5" w:rsidRDefault="000D55A7" w:rsidP="000D55A7">
      <w:pPr>
        <w:tabs>
          <w:tab w:val="left" w:pos="426"/>
        </w:tabs>
        <w:jc w:val="both"/>
        <w:rPr>
          <w:sz w:val="22"/>
          <w:szCs w:val="22"/>
        </w:rPr>
      </w:pPr>
      <w:r w:rsidRPr="00D211F5">
        <w:rPr>
          <w:sz w:val="22"/>
          <w:szCs w:val="22"/>
        </w:rPr>
        <w:t>Šis dokuments ir neatņemama atklātā konkursa „</w:t>
      </w:r>
      <w:r w:rsidRPr="00D211F5">
        <w:t xml:space="preserve">Sešu ielu pārbūve un divu ielu izbūve </w:t>
      </w:r>
      <w:r w:rsidRPr="00D211F5">
        <w:rPr>
          <w:iCs/>
        </w:rPr>
        <w:t>Saulkrastu novadā</w:t>
      </w:r>
      <w:r w:rsidRPr="00D211F5">
        <w:rPr>
          <w:sz w:val="22"/>
          <w:szCs w:val="22"/>
        </w:rPr>
        <w:t xml:space="preserve">” ar ID </w:t>
      </w:r>
      <w:proofErr w:type="spellStart"/>
      <w:r w:rsidRPr="00D211F5">
        <w:rPr>
          <w:sz w:val="22"/>
          <w:szCs w:val="22"/>
        </w:rPr>
        <w:t>Nr.SND</w:t>
      </w:r>
      <w:proofErr w:type="spellEnd"/>
      <w:r w:rsidRPr="00D211F5">
        <w:rPr>
          <w:sz w:val="22"/>
          <w:szCs w:val="22"/>
        </w:rPr>
        <w:t xml:space="preserve"> 2018/1/ERAF nolikuma sastāvdaļa un jāņem vērā un attiecas uz visiem pretendentiem, kas iesniedz piedāvājumu.</w:t>
      </w:r>
    </w:p>
    <w:p w:rsidR="000D55A7" w:rsidRDefault="000D55A7" w:rsidP="000D55A7">
      <w:pPr>
        <w:ind w:right="-874"/>
        <w:jc w:val="both"/>
        <w:rPr>
          <w:b/>
          <w:i/>
          <w:iCs/>
          <w:sz w:val="22"/>
          <w:szCs w:val="22"/>
        </w:rPr>
      </w:pPr>
    </w:p>
    <w:p w:rsidR="000D55A7" w:rsidRDefault="000D55A7" w:rsidP="000D55A7">
      <w:pPr>
        <w:ind w:right="-874"/>
        <w:jc w:val="both"/>
        <w:rPr>
          <w:b/>
          <w:i/>
          <w:iCs/>
          <w:sz w:val="22"/>
          <w:szCs w:val="22"/>
        </w:rPr>
      </w:pPr>
      <w:r>
        <w:rPr>
          <w:b/>
          <w:i/>
          <w:iCs/>
          <w:sz w:val="22"/>
          <w:szCs w:val="22"/>
        </w:rPr>
        <w:t xml:space="preserve">Komisija sniedz šādus skaidrojumus </w:t>
      </w:r>
      <w:r w:rsidR="00E736E5">
        <w:rPr>
          <w:b/>
          <w:i/>
          <w:iCs/>
          <w:sz w:val="22"/>
          <w:szCs w:val="22"/>
        </w:rPr>
        <w:t>par atklātā konkursa nolikumu</w:t>
      </w:r>
      <w:r>
        <w:rPr>
          <w:b/>
          <w:i/>
          <w:iCs/>
          <w:sz w:val="22"/>
          <w:szCs w:val="2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0D55A7" w:rsidRPr="00571F3D" w:rsidTr="00831CB6">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rsidR="000D55A7" w:rsidRDefault="000D55A7" w:rsidP="00831CB6">
            <w:pPr>
              <w:pStyle w:val="naisf"/>
              <w:spacing w:before="0" w:beforeAutospacing="0" w:after="0" w:afterAutospacing="0" w:line="276" w:lineRule="auto"/>
              <w:rPr>
                <w:sz w:val="12"/>
                <w:szCs w:val="12"/>
                <w:lang w:eastAsia="lv-LV"/>
              </w:rPr>
            </w:pPr>
          </w:p>
        </w:tc>
      </w:tr>
      <w:tr w:rsidR="000D55A7" w:rsidRPr="00571F3D" w:rsidTr="00831CB6">
        <w:trPr>
          <w:trHeight w:val="619"/>
        </w:trPr>
        <w:tc>
          <w:tcPr>
            <w:tcW w:w="1668" w:type="dxa"/>
            <w:tcBorders>
              <w:top w:val="single" w:sz="4" w:space="0" w:color="auto"/>
              <w:left w:val="single" w:sz="4" w:space="0" w:color="auto"/>
              <w:bottom w:val="single" w:sz="4" w:space="0" w:color="auto"/>
              <w:right w:val="single" w:sz="4" w:space="0" w:color="auto"/>
            </w:tcBorders>
            <w:vAlign w:val="center"/>
            <w:hideMark/>
          </w:tcPr>
          <w:p w:rsidR="000D55A7" w:rsidRPr="00E736E5" w:rsidRDefault="000D55A7" w:rsidP="00831CB6">
            <w:pPr>
              <w:pStyle w:val="NoSpacing"/>
              <w:spacing w:before="40" w:after="40" w:line="276" w:lineRule="auto"/>
              <w:rPr>
                <w:b/>
                <w:sz w:val="22"/>
                <w:szCs w:val="22"/>
                <w:lang w:eastAsia="en-US"/>
              </w:rPr>
            </w:pPr>
            <w:r w:rsidRPr="00E736E5">
              <w:rPr>
                <w:b/>
                <w:sz w:val="22"/>
                <w:szCs w:val="22"/>
              </w:rPr>
              <w:t>1.jautājums</w:t>
            </w:r>
          </w:p>
        </w:tc>
        <w:tc>
          <w:tcPr>
            <w:tcW w:w="7512" w:type="dxa"/>
            <w:tcBorders>
              <w:top w:val="single" w:sz="4" w:space="0" w:color="auto"/>
              <w:left w:val="single" w:sz="4" w:space="0" w:color="auto"/>
              <w:bottom w:val="single" w:sz="4" w:space="0" w:color="auto"/>
              <w:right w:val="single" w:sz="4" w:space="0" w:color="auto"/>
            </w:tcBorders>
          </w:tcPr>
          <w:p w:rsidR="000D55A7" w:rsidRPr="00E736E5" w:rsidRDefault="000D55A7" w:rsidP="00831CB6">
            <w:pPr>
              <w:jc w:val="both"/>
              <w:rPr>
                <w:sz w:val="22"/>
                <w:szCs w:val="22"/>
              </w:rPr>
            </w:pPr>
          </w:p>
          <w:p w:rsidR="000D55A7" w:rsidRPr="00E736E5" w:rsidRDefault="000D55A7" w:rsidP="000D55A7">
            <w:pPr>
              <w:pStyle w:val="BodyText1"/>
              <w:shd w:val="clear" w:color="auto" w:fill="auto"/>
              <w:spacing w:before="0" w:after="0" w:line="248" w:lineRule="exact"/>
              <w:jc w:val="both"/>
            </w:pPr>
            <w:r w:rsidRPr="00E736E5">
              <w:t>Pamatojoties uz to, ka pašteces lietus ūdens kanalizācijas tiklu izbūves pēc tehnoloģijas un sarežģītības ne ar ko neatšķiras no pašteces sadzīves kanalizācijas tīklu izbūves, lūdzam Pasūtītāju apstiprināt, ka Pretendents būs izpildījis nolikuma 19.1.3. punkta un 19.3.2. punkta prasības, ja pieredzē balstīsies ari uz sadzīves kanalizācijas izbūves darbiem.</w:t>
            </w:r>
          </w:p>
          <w:p w:rsidR="000D55A7" w:rsidRPr="00E736E5" w:rsidRDefault="000D55A7" w:rsidP="000D55A7">
            <w:pPr>
              <w:pStyle w:val="BodyText1"/>
              <w:shd w:val="clear" w:color="auto" w:fill="auto"/>
              <w:spacing w:before="0" w:after="0" w:line="252" w:lineRule="exact"/>
              <w:jc w:val="both"/>
            </w:pPr>
            <w:r w:rsidRPr="00E736E5">
              <w:t>Pamatojoties uz augstāk minēto, lūdzam Pasūtītāju grozīt nolikuma 19.1.3. un 19.3.2. punktus un izteikt tos šādā redakcijā:</w:t>
            </w:r>
          </w:p>
          <w:p w:rsidR="000D55A7" w:rsidRPr="00E736E5" w:rsidRDefault="000D55A7" w:rsidP="000D55A7">
            <w:pPr>
              <w:pStyle w:val="BodyText1"/>
              <w:shd w:val="clear" w:color="auto" w:fill="auto"/>
              <w:spacing w:before="0" w:after="0" w:line="252" w:lineRule="exact"/>
              <w:jc w:val="both"/>
            </w:pPr>
            <w:r w:rsidRPr="00E736E5">
              <w:t>19.1.3.2 (divus) lietus ūdens un/vai sadzīves kanalizācijas izbūves darbus vismaz 500 m;</w:t>
            </w:r>
          </w:p>
          <w:p w:rsidR="000D55A7" w:rsidRPr="00E736E5" w:rsidRDefault="000D55A7" w:rsidP="000D55A7">
            <w:pPr>
              <w:pStyle w:val="BodyText1"/>
              <w:shd w:val="clear" w:color="auto" w:fill="auto"/>
              <w:spacing w:before="0" w:after="0" w:line="252" w:lineRule="exact"/>
              <w:jc w:val="both"/>
            </w:pPr>
            <w:r w:rsidRPr="00E736E5">
              <w:t xml:space="preserve">19.3.2. Būvdarbu vadītājs sertificēts speciālists ūdensapgādes un </w:t>
            </w:r>
            <w:r w:rsidRPr="00E736E5">
              <w:rPr>
                <w:rStyle w:val="Bodytext10ptSpacing0pt"/>
                <w:sz w:val="22"/>
                <w:szCs w:val="22"/>
              </w:rPr>
              <w:t xml:space="preserve">kanalizācijas </w:t>
            </w:r>
            <w:r w:rsidRPr="00E736E5">
              <w:t>sistēmu būvdarbu vadīšanas jomā, kuram iepriekšējo 5 (piecu) gadu laikā (2013., 2014., 2015., 2016., 2017.) ir pieredze ūdensapgādes un kanalizācijas sistēmu būvdarbu vadīšanā vismaz 2 (divos) Objektos, kur kairā Objektā ir izbūvēti vismaz 500 m lietusūdens un/vai sadzīves kanalizācijas tikli.</w:t>
            </w:r>
          </w:p>
          <w:p w:rsidR="000D55A7" w:rsidRPr="00E736E5" w:rsidRDefault="000D55A7" w:rsidP="00831CB6">
            <w:pPr>
              <w:jc w:val="both"/>
              <w:rPr>
                <w:sz w:val="22"/>
                <w:szCs w:val="22"/>
              </w:rPr>
            </w:pPr>
          </w:p>
        </w:tc>
      </w:tr>
      <w:tr w:rsidR="000D55A7" w:rsidRPr="00571F3D" w:rsidTr="00F35AB7">
        <w:trPr>
          <w:trHeight w:val="734"/>
        </w:trPr>
        <w:tc>
          <w:tcPr>
            <w:tcW w:w="1668" w:type="dxa"/>
            <w:tcBorders>
              <w:top w:val="single" w:sz="4" w:space="0" w:color="auto"/>
              <w:left w:val="single" w:sz="4" w:space="0" w:color="auto"/>
              <w:bottom w:val="single" w:sz="4" w:space="0" w:color="auto"/>
              <w:right w:val="single" w:sz="4" w:space="0" w:color="auto"/>
            </w:tcBorders>
            <w:vAlign w:val="center"/>
            <w:hideMark/>
          </w:tcPr>
          <w:p w:rsidR="00F35AB7" w:rsidRPr="00E736E5" w:rsidRDefault="00F35AB7" w:rsidP="00831CB6">
            <w:pPr>
              <w:pStyle w:val="NoSpacing"/>
              <w:spacing w:before="40" w:after="40" w:line="276" w:lineRule="auto"/>
              <w:rPr>
                <w:b/>
                <w:sz w:val="22"/>
                <w:szCs w:val="22"/>
              </w:rPr>
            </w:pPr>
          </w:p>
          <w:p w:rsidR="000D55A7" w:rsidRPr="00E736E5" w:rsidRDefault="000D55A7" w:rsidP="00831CB6">
            <w:pPr>
              <w:pStyle w:val="NoSpacing"/>
              <w:spacing w:before="40" w:after="40" w:line="276" w:lineRule="auto"/>
              <w:rPr>
                <w:b/>
                <w:sz w:val="22"/>
                <w:szCs w:val="22"/>
                <w:lang w:eastAsia="en-US"/>
              </w:rPr>
            </w:pPr>
            <w:r w:rsidRPr="00E736E5">
              <w:rPr>
                <w:b/>
                <w:sz w:val="22"/>
                <w:szCs w:val="22"/>
              </w:rPr>
              <w:t>S</w:t>
            </w:r>
            <w:r w:rsidR="008F5FBA" w:rsidRPr="00E736E5">
              <w:rPr>
                <w:b/>
                <w:sz w:val="22"/>
                <w:szCs w:val="22"/>
              </w:rPr>
              <w:t>kaidrojums</w:t>
            </w:r>
          </w:p>
        </w:tc>
        <w:tc>
          <w:tcPr>
            <w:tcW w:w="7512" w:type="dxa"/>
            <w:tcBorders>
              <w:top w:val="single" w:sz="4" w:space="0" w:color="auto"/>
              <w:left w:val="single" w:sz="4" w:space="0" w:color="auto"/>
              <w:bottom w:val="single" w:sz="4" w:space="0" w:color="auto"/>
              <w:right w:val="single" w:sz="4" w:space="0" w:color="auto"/>
            </w:tcBorders>
          </w:tcPr>
          <w:p w:rsidR="00F35AB7" w:rsidRPr="00E736E5" w:rsidRDefault="00F35AB7" w:rsidP="00831CB6">
            <w:pPr>
              <w:pStyle w:val="BodyText"/>
              <w:suppressAutoHyphens/>
              <w:spacing w:before="60" w:after="60"/>
              <w:jc w:val="both"/>
              <w:rPr>
                <w:sz w:val="22"/>
                <w:szCs w:val="22"/>
              </w:rPr>
            </w:pPr>
            <w:r w:rsidRPr="00E736E5">
              <w:rPr>
                <w:sz w:val="22"/>
                <w:szCs w:val="22"/>
              </w:rPr>
              <w:t xml:space="preserve"> </w:t>
            </w:r>
          </w:p>
          <w:p w:rsidR="008810FC" w:rsidRPr="00E736E5" w:rsidRDefault="00F35AB7" w:rsidP="00831CB6">
            <w:pPr>
              <w:pStyle w:val="BodyText"/>
              <w:suppressAutoHyphens/>
              <w:spacing w:before="60" w:after="60"/>
              <w:jc w:val="both"/>
              <w:rPr>
                <w:color w:val="000000"/>
                <w:sz w:val="22"/>
                <w:szCs w:val="22"/>
              </w:rPr>
            </w:pPr>
            <w:r w:rsidRPr="00E736E5">
              <w:rPr>
                <w:sz w:val="22"/>
                <w:szCs w:val="22"/>
              </w:rPr>
              <w:t>Nolikuma 19.1.3. un 19.3.2. punkti netiks grozīti.</w:t>
            </w:r>
          </w:p>
        </w:tc>
      </w:tr>
      <w:tr w:rsidR="008810FC" w:rsidRPr="00571F3D" w:rsidTr="00831CB6">
        <w:trPr>
          <w:trHeight w:val="347"/>
        </w:trPr>
        <w:tc>
          <w:tcPr>
            <w:tcW w:w="1668" w:type="dxa"/>
            <w:tcBorders>
              <w:top w:val="single" w:sz="4" w:space="0" w:color="auto"/>
              <w:left w:val="single" w:sz="4" w:space="0" w:color="auto"/>
              <w:bottom w:val="single" w:sz="4" w:space="0" w:color="auto"/>
              <w:right w:val="single" w:sz="4" w:space="0" w:color="auto"/>
            </w:tcBorders>
            <w:vAlign w:val="center"/>
          </w:tcPr>
          <w:p w:rsidR="008810FC" w:rsidRPr="00E736E5" w:rsidRDefault="002D58B8" w:rsidP="00110F3F">
            <w:pPr>
              <w:pStyle w:val="NoSpacing"/>
              <w:spacing w:before="40" w:after="40" w:line="276" w:lineRule="auto"/>
              <w:rPr>
                <w:b/>
                <w:sz w:val="22"/>
                <w:szCs w:val="22"/>
                <w:lang w:eastAsia="en-US"/>
              </w:rPr>
            </w:pPr>
            <w:r>
              <w:rPr>
                <w:b/>
                <w:sz w:val="22"/>
                <w:szCs w:val="22"/>
              </w:rPr>
              <w:t>2</w:t>
            </w:r>
            <w:bookmarkStart w:id="0" w:name="_GoBack"/>
            <w:bookmarkEnd w:id="0"/>
            <w:r w:rsidR="008810FC" w:rsidRPr="00E736E5">
              <w:rPr>
                <w:b/>
                <w:sz w:val="22"/>
                <w:szCs w:val="22"/>
              </w:rPr>
              <w:t>.jautājums</w:t>
            </w:r>
          </w:p>
        </w:tc>
        <w:tc>
          <w:tcPr>
            <w:tcW w:w="7512" w:type="dxa"/>
            <w:tcBorders>
              <w:top w:val="single" w:sz="4" w:space="0" w:color="auto"/>
              <w:left w:val="single" w:sz="4" w:space="0" w:color="auto"/>
              <w:bottom w:val="single" w:sz="4" w:space="0" w:color="auto"/>
              <w:right w:val="single" w:sz="4" w:space="0" w:color="auto"/>
            </w:tcBorders>
          </w:tcPr>
          <w:p w:rsidR="008810FC" w:rsidRPr="00E736E5" w:rsidRDefault="008810FC" w:rsidP="008810FC">
            <w:pPr>
              <w:pStyle w:val="BodyText2"/>
              <w:shd w:val="clear" w:color="auto" w:fill="auto"/>
              <w:spacing w:line="230" w:lineRule="exact"/>
              <w:ind w:left="20"/>
              <w:jc w:val="both"/>
              <w:rPr>
                <w:sz w:val="22"/>
                <w:szCs w:val="22"/>
              </w:rPr>
            </w:pPr>
            <w:r w:rsidRPr="00E736E5">
              <w:rPr>
                <w:sz w:val="22"/>
                <w:szCs w:val="22"/>
              </w:rPr>
              <w:t>Par g</w:t>
            </w:r>
            <w:proofErr w:type="gramStart"/>
            <w:r w:rsidRPr="00E736E5">
              <w:rPr>
                <w:sz w:val="22"/>
                <w:szCs w:val="22"/>
              </w:rPr>
              <w:t xml:space="preserve">   </w:t>
            </w:r>
            <w:proofErr w:type="gramEnd"/>
            <w:r w:rsidRPr="00E736E5">
              <w:rPr>
                <w:sz w:val="22"/>
                <w:szCs w:val="22"/>
              </w:rPr>
              <w:t>Par galveno  būvizstrādājumu sarakstu</w:t>
            </w:r>
          </w:p>
          <w:p w:rsidR="008810FC" w:rsidRPr="00E736E5" w:rsidRDefault="008810FC" w:rsidP="008810FC">
            <w:pPr>
              <w:pStyle w:val="BodyText2"/>
              <w:shd w:val="clear" w:color="auto" w:fill="auto"/>
              <w:spacing w:after="248"/>
              <w:ind w:left="20" w:right="20"/>
              <w:jc w:val="both"/>
              <w:rPr>
                <w:sz w:val="22"/>
                <w:szCs w:val="22"/>
              </w:rPr>
            </w:pPr>
            <w:proofErr w:type="spellStart"/>
            <w:r w:rsidRPr="00E736E5">
              <w:rPr>
                <w:sz w:val="22"/>
                <w:szCs w:val="22"/>
              </w:rPr>
              <w:t>Konk</w:t>
            </w:r>
            <w:proofErr w:type="spellEnd"/>
            <w:proofErr w:type="gramStart"/>
            <w:r w:rsidRPr="00E736E5">
              <w:rPr>
                <w:sz w:val="22"/>
                <w:szCs w:val="22"/>
              </w:rPr>
              <w:t xml:space="preserve">  </w:t>
            </w:r>
            <w:r w:rsidR="00E736E5">
              <w:rPr>
                <w:sz w:val="22"/>
                <w:szCs w:val="22"/>
              </w:rPr>
              <w:t xml:space="preserve"> </w:t>
            </w:r>
            <w:proofErr w:type="gramEnd"/>
            <w:r w:rsidRPr="00E736E5">
              <w:rPr>
                <w:sz w:val="22"/>
                <w:szCs w:val="22"/>
              </w:rPr>
              <w:t>Konkursa  nolikuma 3.pielikuma “Tehniskais piedāvājums” 3.punktā (turpmāk - Tehniskā piedāvājuma sagatavošanas vadlīnijas) noteikts, ka būvizstrādājumu sarakstam jāpievieno būvizstrādājuma ražotāja apliecinājums, ka būvdarbu realizācijai tiks piegādāti un izmantoti būvizstrādājumi līgumā nepieciešamajā apjomā.</w:t>
            </w:r>
          </w:p>
          <w:p w:rsidR="008810FC" w:rsidRPr="00E736E5" w:rsidRDefault="008810FC" w:rsidP="008810FC">
            <w:pPr>
              <w:pStyle w:val="BodyText2"/>
              <w:shd w:val="clear" w:color="auto" w:fill="auto"/>
              <w:spacing w:after="6" w:line="269" w:lineRule="exact"/>
              <w:ind w:left="20" w:right="20"/>
              <w:jc w:val="both"/>
              <w:rPr>
                <w:sz w:val="22"/>
                <w:szCs w:val="22"/>
              </w:rPr>
            </w:pPr>
            <w:r w:rsidRPr="00E736E5">
              <w:rPr>
                <w:sz w:val="22"/>
                <w:szCs w:val="22"/>
              </w:rPr>
              <w:t>Lūdz</w:t>
            </w:r>
            <w:proofErr w:type="gramStart"/>
            <w:r w:rsidRPr="00E736E5">
              <w:rPr>
                <w:sz w:val="22"/>
                <w:szCs w:val="22"/>
              </w:rPr>
              <w:t xml:space="preserve">     </w:t>
            </w:r>
            <w:proofErr w:type="gramEnd"/>
            <w:r w:rsidRPr="00E736E5">
              <w:rPr>
                <w:sz w:val="22"/>
                <w:szCs w:val="22"/>
              </w:rPr>
              <w:t>Lūdzam  Pasūtītāju apstiprināt, ka par atbilstošu tiks atzīts, ja pretendenti saskaņā ar Tehniskā piedāvājuma sagatavošanas vadlīnijās noteikto Būvizstrādājumu sarakstam pievienos materiālu piegādātāju un/vai materiālu ražotāju apliecinājumus par to, ka būvdarbu realizācijai tiks piegādāti un izmantoti būvizstrādājumi līgumā nepieciešamajā apjomā.</w:t>
            </w:r>
          </w:p>
        </w:tc>
      </w:tr>
      <w:tr w:rsidR="008810FC" w:rsidRPr="00571F3D" w:rsidTr="00831CB6">
        <w:trPr>
          <w:trHeight w:val="347"/>
        </w:trPr>
        <w:tc>
          <w:tcPr>
            <w:tcW w:w="1668" w:type="dxa"/>
            <w:tcBorders>
              <w:top w:val="single" w:sz="4" w:space="0" w:color="auto"/>
              <w:left w:val="single" w:sz="4" w:space="0" w:color="auto"/>
              <w:bottom w:val="single" w:sz="4" w:space="0" w:color="auto"/>
              <w:right w:val="single" w:sz="4" w:space="0" w:color="auto"/>
            </w:tcBorders>
            <w:vAlign w:val="center"/>
          </w:tcPr>
          <w:p w:rsidR="008810FC" w:rsidRPr="00E736E5" w:rsidRDefault="008810FC" w:rsidP="00110F3F">
            <w:pPr>
              <w:pStyle w:val="NoSpacing"/>
              <w:spacing w:before="40" w:after="40" w:line="276" w:lineRule="auto"/>
              <w:rPr>
                <w:b/>
                <w:sz w:val="22"/>
                <w:szCs w:val="22"/>
                <w:lang w:eastAsia="en-US"/>
              </w:rPr>
            </w:pPr>
            <w:r w:rsidRPr="00E736E5">
              <w:rPr>
                <w:b/>
                <w:sz w:val="22"/>
                <w:szCs w:val="22"/>
              </w:rPr>
              <w:t>Skaidrojums</w:t>
            </w:r>
          </w:p>
        </w:tc>
        <w:tc>
          <w:tcPr>
            <w:tcW w:w="7512" w:type="dxa"/>
            <w:tcBorders>
              <w:top w:val="single" w:sz="4" w:space="0" w:color="auto"/>
              <w:left w:val="single" w:sz="4" w:space="0" w:color="auto"/>
              <w:bottom w:val="single" w:sz="4" w:space="0" w:color="auto"/>
              <w:right w:val="single" w:sz="4" w:space="0" w:color="auto"/>
            </w:tcBorders>
          </w:tcPr>
          <w:p w:rsidR="00FC6E6B" w:rsidRDefault="00FC6E6B" w:rsidP="00831CB6">
            <w:pPr>
              <w:pStyle w:val="BodyText"/>
              <w:suppressAutoHyphens/>
              <w:spacing w:before="60" w:after="60"/>
              <w:jc w:val="both"/>
              <w:rPr>
                <w:sz w:val="22"/>
                <w:szCs w:val="22"/>
              </w:rPr>
            </w:pPr>
          </w:p>
          <w:p w:rsidR="008810FC" w:rsidRPr="00E03567" w:rsidRDefault="00F35AB7" w:rsidP="00831CB6">
            <w:pPr>
              <w:pStyle w:val="BodyText"/>
              <w:suppressAutoHyphens/>
              <w:spacing w:before="60" w:after="60"/>
              <w:jc w:val="both"/>
              <w:rPr>
                <w:sz w:val="22"/>
                <w:szCs w:val="22"/>
              </w:rPr>
            </w:pPr>
            <w:r w:rsidRPr="00E03567">
              <w:rPr>
                <w:sz w:val="22"/>
                <w:szCs w:val="22"/>
              </w:rPr>
              <w:t xml:space="preserve">Pasūtītājs apstiprina, ka par atbilstošu </w:t>
            </w:r>
            <w:r w:rsidR="00EF4903" w:rsidRPr="00E03567">
              <w:rPr>
                <w:sz w:val="22"/>
                <w:szCs w:val="22"/>
              </w:rPr>
              <w:t>tiks atzīts</w:t>
            </w:r>
            <w:r w:rsidR="00E736E5" w:rsidRPr="00E03567">
              <w:rPr>
                <w:sz w:val="22"/>
                <w:szCs w:val="22"/>
              </w:rPr>
              <w:t xml:space="preserve"> arī materiālu piegādātāja apliecinājums </w:t>
            </w:r>
            <w:r w:rsidRPr="00E03567">
              <w:rPr>
                <w:sz w:val="22"/>
                <w:szCs w:val="22"/>
              </w:rPr>
              <w:t>par to, ka būvdarbu realizācijai tiks piegādāti un izmantoti būvizstrādājumi līgumā nepieciešamajā apjomā.</w:t>
            </w:r>
          </w:p>
          <w:p w:rsidR="00EF4903" w:rsidRPr="00E736E5" w:rsidRDefault="00EF4903" w:rsidP="00E03567">
            <w:pPr>
              <w:pStyle w:val="BodyText"/>
              <w:suppressAutoHyphens/>
              <w:spacing w:before="60" w:after="60"/>
              <w:jc w:val="both"/>
              <w:rPr>
                <w:color w:val="000000"/>
                <w:sz w:val="22"/>
                <w:szCs w:val="22"/>
              </w:rPr>
            </w:pPr>
          </w:p>
        </w:tc>
      </w:tr>
    </w:tbl>
    <w:p w:rsidR="00344092" w:rsidRDefault="00344092"/>
    <w:sectPr w:rsidR="00344092"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5D"/>
    <w:rsid w:val="000D55A7"/>
    <w:rsid w:val="001547EA"/>
    <w:rsid w:val="001A1C5D"/>
    <w:rsid w:val="002D58B8"/>
    <w:rsid w:val="002D5E17"/>
    <w:rsid w:val="00344092"/>
    <w:rsid w:val="008810FC"/>
    <w:rsid w:val="008F5FBA"/>
    <w:rsid w:val="00B340EA"/>
    <w:rsid w:val="00C46349"/>
    <w:rsid w:val="00D03649"/>
    <w:rsid w:val="00E03567"/>
    <w:rsid w:val="00E736E5"/>
    <w:rsid w:val="00EF4903"/>
    <w:rsid w:val="00F35AB7"/>
    <w:rsid w:val="00FC6E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0D55A7"/>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0D55A7"/>
    <w:rPr>
      <w:rFonts w:ascii="Times New Roman" w:eastAsia="Times New Roman" w:hAnsi="Times New Roman" w:cs="Times New Roman"/>
      <w:sz w:val="24"/>
      <w:szCs w:val="24"/>
      <w:lang w:eastAsia="lv-LV"/>
    </w:rPr>
  </w:style>
  <w:style w:type="paragraph" w:styleId="NoSpacing">
    <w:name w:val="No Spacing"/>
    <w:basedOn w:val="Normal"/>
    <w:uiPriority w:val="1"/>
    <w:qFormat/>
    <w:rsid w:val="000D55A7"/>
  </w:style>
  <w:style w:type="paragraph" w:customStyle="1" w:styleId="naisf">
    <w:name w:val="naisf"/>
    <w:basedOn w:val="Normal"/>
    <w:uiPriority w:val="99"/>
    <w:rsid w:val="000D55A7"/>
    <w:pPr>
      <w:spacing w:before="100" w:beforeAutospacing="1" w:after="100" w:afterAutospacing="1"/>
      <w:jc w:val="both"/>
    </w:pPr>
    <w:rPr>
      <w:lang w:eastAsia="en-US"/>
    </w:rPr>
  </w:style>
  <w:style w:type="character" w:styleId="Hyperlink">
    <w:name w:val="Hyperlink"/>
    <w:rsid w:val="000D55A7"/>
    <w:rPr>
      <w:color w:val="0000FF"/>
      <w:u w:val="single"/>
    </w:rPr>
  </w:style>
  <w:style w:type="character" w:customStyle="1" w:styleId="Bodytext0">
    <w:name w:val="Body text_"/>
    <w:basedOn w:val="DefaultParagraphFont"/>
    <w:link w:val="BodyText1"/>
    <w:rsid w:val="000D55A7"/>
    <w:rPr>
      <w:rFonts w:ascii="Times New Roman" w:eastAsia="Times New Roman" w:hAnsi="Times New Roman" w:cs="Times New Roman"/>
      <w:spacing w:val="-10"/>
      <w:shd w:val="clear" w:color="auto" w:fill="FFFFFF"/>
    </w:rPr>
  </w:style>
  <w:style w:type="character" w:customStyle="1" w:styleId="Bodytext10ptSpacing0pt">
    <w:name w:val="Body text + 10 pt;Spacing 0 pt"/>
    <w:basedOn w:val="Bodytext0"/>
    <w:rsid w:val="000D55A7"/>
    <w:rPr>
      <w:rFonts w:ascii="Times New Roman" w:eastAsia="Times New Roman" w:hAnsi="Times New Roman" w:cs="Times New Roman"/>
      <w:color w:val="000000"/>
      <w:spacing w:val="0"/>
      <w:w w:val="100"/>
      <w:position w:val="0"/>
      <w:sz w:val="20"/>
      <w:szCs w:val="20"/>
      <w:u w:val="single"/>
      <w:shd w:val="clear" w:color="auto" w:fill="FFFFFF"/>
      <w:lang w:val="lv-LV" w:eastAsia="lv-LV" w:bidi="lv-LV"/>
    </w:rPr>
  </w:style>
  <w:style w:type="paragraph" w:customStyle="1" w:styleId="BodyText1">
    <w:name w:val="Body Text1"/>
    <w:basedOn w:val="Normal"/>
    <w:link w:val="Bodytext0"/>
    <w:rsid w:val="000D55A7"/>
    <w:pPr>
      <w:widowControl w:val="0"/>
      <w:shd w:val="clear" w:color="auto" w:fill="FFFFFF"/>
      <w:spacing w:before="240" w:after="540" w:line="0" w:lineRule="atLeast"/>
      <w:jc w:val="right"/>
    </w:pPr>
    <w:rPr>
      <w:spacing w:val="-10"/>
      <w:sz w:val="22"/>
      <w:szCs w:val="22"/>
      <w:lang w:eastAsia="en-US"/>
    </w:rPr>
  </w:style>
  <w:style w:type="paragraph" w:customStyle="1" w:styleId="BodyText2">
    <w:name w:val="Body Text2"/>
    <w:basedOn w:val="Normal"/>
    <w:rsid w:val="008810FC"/>
    <w:pPr>
      <w:widowControl w:val="0"/>
      <w:shd w:val="clear" w:color="auto" w:fill="FFFFFF"/>
      <w:spacing w:before="180" w:after="180" w:line="250" w:lineRule="exact"/>
      <w:ind w:hanging="720"/>
    </w:pPr>
    <w:rPr>
      <w:color w:val="000000"/>
      <w:sz w:val="21"/>
      <w:szCs w:val="21"/>
      <w:lang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A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0D55A7"/>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0D55A7"/>
    <w:rPr>
      <w:rFonts w:ascii="Times New Roman" w:eastAsia="Times New Roman" w:hAnsi="Times New Roman" w:cs="Times New Roman"/>
      <w:sz w:val="24"/>
      <w:szCs w:val="24"/>
      <w:lang w:eastAsia="lv-LV"/>
    </w:rPr>
  </w:style>
  <w:style w:type="paragraph" w:styleId="NoSpacing">
    <w:name w:val="No Spacing"/>
    <w:basedOn w:val="Normal"/>
    <w:uiPriority w:val="1"/>
    <w:qFormat/>
    <w:rsid w:val="000D55A7"/>
  </w:style>
  <w:style w:type="paragraph" w:customStyle="1" w:styleId="naisf">
    <w:name w:val="naisf"/>
    <w:basedOn w:val="Normal"/>
    <w:uiPriority w:val="99"/>
    <w:rsid w:val="000D55A7"/>
    <w:pPr>
      <w:spacing w:before="100" w:beforeAutospacing="1" w:after="100" w:afterAutospacing="1"/>
      <w:jc w:val="both"/>
    </w:pPr>
    <w:rPr>
      <w:lang w:eastAsia="en-US"/>
    </w:rPr>
  </w:style>
  <w:style w:type="character" w:styleId="Hyperlink">
    <w:name w:val="Hyperlink"/>
    <w:rsid w:val="000D55A7"/>
    <w:rPr>
      <w:color w:val="0000FF"/>
      <w:u w:val="single"/>
    </w:rPr>
  </w:style>
  <w:style w:type="character" w:customStyle="1" w:styleId="Bodytext0">
    <w:name w:val="Body text_"/>
    <w:basedOn w:val="DefaultParagraphFont"/>
    <w:link w:val="BodyText1"/>
    <w:rsid w:val="000D55A7"/>
    <w:rPr>
      <w:rFonts w:ascii="Times New Roman" w:eastAsia="Times New Roman" w:hAnsi="Times New Roman" w:cs="Times New Roman"/>
      <w:spacing w:val="-10"/>
      <w:shd w:val="clear" w:color="auto" w:fill="FFFFFF"/>
    </w:rPr>
  </w:style>
  <w:style w:type="character" w:customStyle="1" w:styleId="Bodytext10ptSpacing0pt">
    <w:name w:val="Body text + 10 pt;Spacing 0 pt"/>
    <w:basedOn w:val="Bodytext0"/>
    <w:rsid w:val="000D55A7"/>
    <w:rPr>
      <w:rFonts w:ascii="Times New Roman" w:eastAsia="Times New Roman" w:hAnsi="Times New Roman" w:cs="Times New Roman"/>
      <w:color w:val="000000"/>
      <w:spacing w:val="0"/>
      <w:w w:val="100"/>
      <w:position w:val="0"/>
      <w:sz w:val="20"/>
      <w:szCs w:val="20"/>
      <w:u w:val="single"/>
      <w:shd w:val="clear" w:color="auto" w:fill="FFFFFF"/>
      <w:lang w:val="lv-LV" w:eastAsia="lv-LV" w:bidi="lv-LV"/>
    </w:rPr>
  </w:style>
  <w:style w:type="paragraph" w:customStyle="1" w:styleId="BodyText1">
    <w:name w:val="Body Text1"/>
    <w:basedOn w:val="Normal"/>
    <w:link w:val="Bodytext0"/>
    <w:rsid w:val="000D55A7"/>
    <w:pPr>
      <w:widowControl w:val="0"/>
      <w:shd w:val="clear" w:color="auto" w:fill="FFFFFF"/>
      <w:spacing w:before="240" w:after="540" w:line="0" w:lineRule="atLeast"/>
      <w:jc w:val="right"/>
    </w:pPr>
    <w:rPr>
      <w:spacing w:val="-10"/>
      <w:sz w:val="22"/>
      <w:szCs w:val="22"/>
      <w:lang w:eastAsia="en-US"/>
    </w:rPr>
  </w:style>
  <w:style w:type="paragraph" w:customStyle="1" w:styleId="BodyText2">
    <w:name w:val="Body Text2"/>
    <w:basedOn w:val="Normal"/>
    <w:rsid w:val="008810FC"/>
    <w:pPr>
      <w:widowControl w:val="0"/>
      <w:shd w:val="clear" w:color="auto" w:fill="FFFFFF"/>
      <w:spacing w:before="180" w:after="180" w:line="250" w:lineRule="exact"/>
      <w:ind w:hanging="720"/>
    </w:pPr>
    <w:rPr>
      <w:color w:val="000000"/>
      <w:sz w:val="21"/>
      <w:szCs w:val="21"/>
      <w:lang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1510</Words>
  <Characters>862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2018-02-28T09:22:00Z</cp:lastPrinted>
  <dcterms:created xsi:type="dcterms:W3CDTF">2018-02-27T14:13:00Z</dcterms:created>
  <dcterms:modified xsi:type="dcterms:W3CDTF">2018-03-02T08:49:00Z</dcterms:modified>
</cp:coreProperties>
</file>