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90" w:rsidRDefault="007F3B90" w:rsidP="007F3B90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</w:p>
    <w:p w:rsidR="007F3B90" w:rsidRPr="00B31758" w:rsidRDefault="007F3B90" w:rsidP="007F3B90">
      <w:pPr>
        <w:pStyle w:val="Heading6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B1BB173" wp14:editId="40734791">
            <wp:extent cx="65532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4906" r="13281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90" w:rsidRPr="00B31758" w:rsidRDefault="007F3B90" w:rsidP="007F3B90">
      <w:pPr>
        <w:pStyle w:val="Heading6"/>
        <w:rPr>
          <w:lang w:val="lv-LV"/>
        </w:rPr>
      </w:pPr>
      <w:r w:rsidRPr="00B31758">
        <w:rPr>
          <w:lang w:val="lv-LV"/>
        </w:rPr>
        <w:t>Saulkrastu novada dome</w:t>
      </w:r>
    </w:p>
    <w:p w:rsidR="007F3B90" w:rsidRPr="00B31758" w:rsidRDefault="007F3B90" w:rsidP="007F3B90">
      <w:pPr>
        <w:jc w:val="center"/>
        <w:rPr>
          <w:color w:val="000000"/>
          <w:spacing w:val="-2"/>
          <w:sz w:val="16"/>
        </w:rPr>
      </w:pPr>
      <w:r w:rsidRPr="00B31758">
        <w:rPr>
          <w:color w:val="000000"/>
          <w:spacing w:val="-2"/>
          <w:sz w:val="16"/>
        </w:rPr>
        <w:t>______________________________________________________________________________________________</w:t>
      </w:r>
    </w:p>
    <w:p w:rsidR="007F3B90" w:rsidRPr="004E0C46" w:rsidRDefault="007F3B90" w:rsidP="007F3B90">
      <w:pPr>
        <w:jc w:val="center"/>
        <w:rPr>
          <w:rFonts w:cs="Times New Roman"/>
          <w:sz w:val="20"/>
          <w:szCs w:val="20"/>
        </w:rPr>
      </w:pPr>
      <w:r w:rsidRPr="004E0C46">
        <w:rPr>
          <w:rFonts w:cs="Times New Roman"/>
          <w:sz w:val="20"/>
          <w:szCs w:val="20"/>
        </w:rPr>
        <w:t xml:space="preserve">Reģ. Nr. </w:t>
      </w:r>
      <w:smartTag w:uri="schemas-tilde-lv/tildestengine" w:element="phone">
        <w:smartTagPr>
          <w:attr w:name="phone_prefix" w:val="9000"/>
          <w:attr w:name="phone_number" w:val="0068680"/>
        </w:smartTagPr>
        <w:r w:rsidRPr="004E0C46">
          <w:rPr>
            <w:rFonts w:cs="Times New Roman"/>
            <w:sz w:val="20"/>
            <w:szCs w:val="20"/>
          </w:rPr>
          <w:t>90000068680</w:t>
        </w:r>
      </w:smartTag>
      <w:r w:rsidRPr="004E0C46">
        <w:rPr>
          <w:rFonts w:cs="Times New Roman"/>
          <w:sz w:val="20"/>
          <w:szCs w:val="20"/>
        </w:rPr>
        <w:t>, Raiņa ielā 8, Saulkrastos, Saulkrastu novadā, LV-2160</w:t>
      </w:r>
    </w:p>
    <w:p w:rsidR="007F3B90" w:rsidRPr="004E0C46" w:rsidRDefault="007F3B90" w:rsidP="007F3B90">
      <w:pPr>
        <w:jc w:val="center"/>
        <w:rPr>
          <w:rFonts w:cs="Times New Roman"/>
          <w:sz w:val="20"/>
          <w:szCs w:val="20"/>
        </w:rPr>
      </w:pPr>
      <w:r w:rsidRPr="004E0C46">
        <w:rPr>
          <w:rFonts w:cs="Times New Roman"/>
          <w:sz w:val="20"/>
          <w:szCs w:val="20"/>
        </w:rPr>
        <w:t xml:space="preserve">tālrunis 67951250,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smartTag w:uri="schemas-tilde-lv/tildestengine" w:element="phonemobile">
          <w:smartTagPr>
            <w:attr w:name="text" w:val="fakss"/>
            <w:attr w:name="id" w:val="-1"/>
            <w:attr w:name="baseform" w:val="faks|s"/>
          </w:smartTagPr>
          <w:r w:rsidRPr="004E0C46">
            <w:rPr>
              <w:rFonts w:cs="Times New Roman"/>
              <w:sz w:val="20"/>
              <w:szCs w:val="20"/>
            </w:rPr>
            <w:t>fakss</w:t>
          </w:r>
        </w:smartTag>
      </w:smartTag>
      <w:r w:rsidRPr="004E0C46">
        <w:rPr>
          <w:rFonts w:cs="Times New Roman"/>
          <w:sz w:val="20"/>
          <w:szCs w:val="20"/>
        </w:rPr>
        <w:t xml:space="preserve"> 67951150,e-pasts: </w:t>
      </w:r>
      <w:hyperlink r:id="rId7" w:history="1">
        <w:r w:rsidRPr="004E0C46">
          <w:rPr>
            <w:rStyle w:val="Hyperlink"/>
            <w:rFonts w:cs="Times New Roman"/>
            <w:sz w:val="20"/>
            <w:szCs w:val="20"/>
          </w:rPr>
          <w:t>dome@saulkrasti.lv</w:t>
        </w:r>
      </w:hyperlink>
    </w:p>
    <w:p w:rsidR="007F3B90" w:rsidRDefault="007F3B90" w:rsidP="007F3B90"/>
    <w:tbl>
      <w:tblPr>
        <w:tblW w:w="12604" w:type="dxa"/>
        <w:tblLook w:val="04A0" w:firstRow="1" w:lastRow="0" w:firstColumn="1" w:lastColumn="0" w:noHBand="0" w:noVBand="1"/>
      </w:tblPr>
      <w:tblGrid>
        <w:gridCol w:w="3020"/>
        <w:gridCol w:w="3020"/>
        <w:gridCol w:w="3282"/>
        <w:gridCol w:w="3282"/>
      </w:tblGrid>
      <w:tr w:rsidR="007F3B90" w:rsidRPr="00A12D4F" w:rsidTr="00934D40">
        <w:tc>
          <w:tcPr>
            <w:tcW w:w="3020" w:type="dxa"/>
            <w:hideMark/>
          </w:tcPr>
          <w:p w:rsidR="007F3B90" w:rsidRPr="00A12D4F" w:rsidRDefault="007F3B90" w:rsidP="00F10745">
            <w:pPr>
              <w:shd w:val="clear" w:color="auto" w:fill="FFFFFF"/>
              <w:tabs>
                <w:tab w:val="left" w:pos="851"/>
              </w:tabs>
              <w:suppressAutoHyphens/>
              <w:ind w:left="357" w:right="-23" w:hanging="357"/>
              <w:jc w:val="both"/>
              <w:rPr>
                <w:rFonts w:eastAsia="Calibri" w:cs="Times New Roman"/>
                <w:bCs/>
                <w:color w:val="000000"/>
                <w:lang w:eastAsia="ar-SA"/>
              </w:rPr>
            </w:pPr>
            <w:proofErr w:type="gramStart"/>
            <w:r>
              <w:rPr>
                <w:rFonts w:eastAsia="Calibri" w:cs="Times New Roman"/>
                <w:bCs/>
                <w:color w:val="000000"/>
                <w:lang w:eastAsia="ar-SA"/>
              </w:rPr>
              <w:t>2018</w:t>
            </w:r>
            <w:r w:rsidRPr="00A12D4F">
              <w:rPr>
                <w:rFonts w:eastAsia="Calibri" w:cs="Times New Roman"/>
                <w:bCs/>
                <w:color w:val="000000"/>
                <w:lang w:eastAsia="ar-SA"/>
              </w:rPr>
              <w:t>.gada</w:t>
            </w:r>
            <w:proofErr w:type="gramEnd"/>
            <w:r w:rsidRPr="00A12D4F">
              <w:rPr>
                <w:rFonts w:eastAsia="Calibri" w:cs="Times New Roman"/>
                <w:bCs/>
                <w:color w:val="000000"/>
                <w:lang w:eastAsia="ar-SA"/>
              </w:rPr>
              <w:t xml:space="preserve"> </w:t>
            </w:r>
            <w:r w:rsidR="00F10745">
              <w:rPr>
                <w:rFonts w:eastAsia="Calibri" w:cs="Times New Roman"/>
                <w:bCs/>
                <w:color w:val="000000"/>
                <w:lang w:eastAsia="ar-SA"/>
              </w:rPr>
              <w:t>28</w:t>
            </w:r>
            <w:r>
              <w:rPr>
                <w:rFonts w:eastAsia="Calibri" w:cs="Times New Roman"/>
                <w:bCs/>
                <w:color w:val="000000"/>
                <w:lang w:eastAsia="ar-SA"/>
              </w:rPr>
              <w:t>.</w:t>
            </w:r>
            <w:r w:rsidR="00F10745">
              <w:rPr>
                <w:rFonts w:eastAsia="Calibri" w:cs="Times New Roman"/>
                <w:bCs/>
                <w:color w:val="000000"/>
                <w:lang w:eastAsia="ar-SA"/>
              </w:rPr>
              <w:t>februārī</w:t>
            </w:r>
          </w:p>
        </w:tc>
        <w:tc>
          <w:tcPr>
            <w:tcW w:w="3020" w:type="dxa"/>
            <w:hideMark/>
          </w:tcPr>
          <w:p w:rsidR="007F3B90" w:rsidRPr="00A12D4F" w:rsidRDefault="007F3B90" w:rsidP="00934D40">
            <w:pPr>
              <w:shd w:val="clear" w:color="auto" w:fill="FFFFFF"/>
              <w:tabs>
                <w:tab w:val="left" w:pos="851"/>
              </w:tabs>
              <w:suppressAutoHyphens/>
              <w:ind w:left="357" w:right="-23" w:hanging="357"/>
              <w:jc w:val="center"/>
              <w:rPr>
                <w:rFonts w:eastAsia="Calibri" w:cs="Times New Roman"/>
                <w:b/>
                <w:bCs/>
                <w:color w:val="000000"/>
                <w:lang w:eastAsia="ar-SA"/>
              </w:rPr>
            </w:pPr>
            <w:r w:rsidRPr="00A12D4F">
              <w:rPr>
                <w:rFonts w:eastAsia="Calibri" w:cs="Times New Roman"/>
                <w:b/>
                <w:bCs/>
                <w:color w:val="000000"/>
                <w:lang w:eastAsia="ar-SA"/>
              </w:rPr>
              <w:t>SAISTOŠIE NOTEIKUMI</w:t>
            </w:r>
          </w:p>
          <w:p w:rsidR="007F3B90" w:rsidRPr="00A12D4F" w:rsidRDefault="007F3B90" w:rsidP="00934D40">
            <w:pPr>
              <w:shd w:val="clear" w:color="auto" w:fill="FFFFFF"/>
              <w:tabs>
                <w:tab w:val="left" w:pos="851"/>
              </w:tabs>
              <w:suppressAutoHyphens/>
              <w:ind w:left="357" w:right="-23" w:hanging="357"/>
              <w:jc w:val="center"/>
              <w:rPr>
                <w:rFonts w:eastAsia="Calibri" w:cs="Times New Roman"/>
                <w:bCs/>
                <w:color w:val="000000"/>
                <w:lang w:eastAsia="ar-SA"/>
              </w:rPr>
            </w:pPr>
            <w:r w:rsidRPr="00A12D4F">
              <w:rPr>
                <w:rFonts w:eastAsia="Calibri" w:cs="Times New Roman"/>
                <w:bCs/>
                <w:color w:val="000000"/>
                <w:lang w:eastAsia="ar-SA"/>
              </w:rPr>
              <w:t>Saulkrastos</w:t>
            </w:r>
          </w:p>
        </w:tc>
        <w:tc>
          <w:tcPr>
            <w:tcW w:w="3282" w:type="dxa"/>
            <w:hideMark/>
          </w:tcPr>
          <w:p w:rsidR="007F3B90" w:rsidRPr="00A12D4F" w:rsidRDefault="007F3B90" w:rsidP="000D6345">
            <w:pPr>
              <w:tabs>
                <w:tab w:val="left" w:pos="851"/>
              </w:tabs>
              <w:ind w:left="426" w:right="2" w:hanging="357"/>
              <w:jc w:val="right"/>
              <w:rPr>
                <w:rFonts w:eastAsia="Calibri" w:cs="Times New Roman"/>
                <w:bCs/>
                <w:color w:val="000000"/>
                <w:lang w:eastAsia="ar-SA"/>
              </w:rPr>
            </w:pPr>
            <w:r w:rsidRPr="00A12D4F">
              <w:rPr>
                <w:rFonts w:eastAsia="Calibri" w:cs="Times New Roman"/>
                <w:bCs/>
                <w:color w:val="000000"/>
                <w:lang w:eastAsia="ar-SA"/>
              </w:rPr>
              <w:t xml:space="preserve">Nr. SN </w:t>
            </w:r>
            <w:r w:rsidR="00F10745">
              <w:rPr>
                <w:rFonts w:eastAsia="Calibri" w:cs="Times New Roman"/>
                <w:bCs/>
                <w:color w:val="000000"/>
                <w:lang w:eastAsia="ar-SA"/>
              </w:rPr>
              <w:t>3</w:t>
            </w:r>
            <w:r>
              <w:rPr>
                <w:rFonts w:eastAsia="Calibri" w:cs="Times New Roman"/>
                <w:bCs/>
                <w:color w:val="000000"/>
                <w:lang w:eastAsia="ar-SA"/>
              </w:rPr>
              <w:t>/2018</w:t>
            </w:r>
          </w:p>
        </w:tc>
        <w:tc>
          <w:tcPr>
            <w:tcW w:w="3282" w:type="dxa"/>
          </w:tcPr>
          <w:p w:rsidR="007F3B90" w:rsidRPr="00A12D4F" w:rsidRDefault="007F3B90" w:rsidP="00934D40">
            <w:pPr>
              <w:tabs>
                <w:tab w:val="left" w:pos="851"/>
              </w:tabs>
              <w:ind w:left="426" w:right="2" w:hanging="357"/>
              <w:jc w:val="right"/>
              <w:rPr>
                <w:rFonts w:eastAsia="Calibri" w:cs="Times New Roman"/>
                <w:bCs/>
                <w:color w:val="000000"/>
                <w:lang w:eastAsia="ar-SA"/>
              </w:rPr>
            </w:pPr>
          </w:p>
        </w:tc>
      </w:tr>
    </w:tbl>
    <w:p w:rsidR="007F3B90" w:rsidRDefault="007F3B90" w:rsidP="007F3B90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</w:p>
    <w:p w:rsidR="007F3B90" w:rsidRPr="00A12D4F" w:rsidRDefault="007F3B90" w:rsidP="007F3B90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  <w:r w:rsidRPr="00A12D4F">
        <w:rPr>
          <w:rFonts w:eastAsia="Calibri" w:cs="Times New Roman"/>
          <w:bCs/>
          <w:i/>
          <w:color w:val="000000"/>
          <w:lang w:eastAsia="ar-SA"/>
        </w:rPr>
        <w:t>Apstiprināti</w:t>
      </w:r>
    </w:p>
    <w:p w:rsidR="007F3B90" w:rsidRPr="00A12D4F" w:rsidRDefault="007F3B90" w:rsidP="007F3B90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  <w:r w:rsidRPr="00A12D4F">
        <w:rPr>
          <w:rFonts w:eastAsia="Calibri" w:cs="Times New Roman"/>
          <w:bCs/>
          <w:i/>
          <w:color w:val="000000"/>
          <w:lang w:eastAsia="ar-SA"/>
        </w:rPr>
        <w:t>Saulkrastu novada domes</w:t>
      </w:r>
    </w:p>
    <w:p w:rsidR="007F3B90" w:rsidRPr="00A12D4F" w:rsidRDefault="007F3B90" w:rsidP="007F3B90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  <w:proofErr w:type="gramStart"/>
      <w:r w:rsidRPr="00A12D4F">
        <w:rPr>
          <w:rFonts w:eastAsia="Calibri" w:cs="Times New Roman"/>
          <w:bCs/>
          <w:i/>
          <w:color w:val="000000"/>
          <w:lang w:eastAsia="ar-SA"/>
        </w:rPr>
        <w:t>201</w:t>
      </w:r>
      <w:r>
        <w:rPr>
          <w:rFonts w:eastAsia="Calibri" w:cs="Times New Roman"/>
          <w:bCs/>
          <w:i/>
          <w:color w:val="000000"/>
          <w:lang w:eastAsia="ar-SA"/>
        </w:rPr>
        <w:t>8</w:t>
      </w:r>
      <w:r w:rsidRPr="00A12D4F">
        <w:rPr>
          <w:rFonts w:eastAsia="Calibri" w:cs="Times New Roman"/>
          <w:bCs/>
          <w:i/>
          <w:color w:val="000000"/>
          <w:lang w:eastAsia="ar-SA"/>
        </w:rPr>
        <w:t>.gada</w:t>
      </w:r>
      <w:proofErr w:type="gramEnd"/>
      <w:r w:rsidRPr="00A12D4F">
        <w:rPr>
          <w:rFonts w:eastAsia="Calibri" w:cs="Times New Roman"/>
          <w:bCs/>
          <w:i/>
          <w:color w:val="000000"/>
          <w:lang w:eastAsia="ar-SA"/>
        </w:rPr>
        <w:t xml:space="preserve"> </w:t>
      </w:r>
      <w:r w:rsidR="00F10745">
        <w:rPr>
          <w:rFonts w:eastAsia="Calibri" w:cs="Times New Roman"/>
          <w:bCs/>
          <w:i/>
          <w:color w:val="000000"/>
          <w:lang w:eastAsia="ar-SA"/>
        </w:rPr>
        <w:t>28</w:t>
      </w:r>
      <w:r>
        <w:rPr>
          <w:rFonts w:eastAsia="Calibri" w:cs="Times New Roman"/>
          <w:bCs/>
          <w:i/>
          <w:color w:val="000000"/>
          <w:lang w:eastAsia="ar-SA"/>
        </w:rPr>
        <w:t>.</w:t>
      </w:r>
      <w:r w:rsidR="00F10745">
        <w:rPr>
          <w:rFonts w:eastAsia="Calibri" w:cs="Times New Roman"/>
          <w:bCs/>
          <w:i/>
          <w:color w:val="000000"/>
          <w:lang w:eastAsia="ar-SA"/>
        </w:rPr>
        <w:t>februāra</w:t>
      </w:r>
      <w:r w:rsidRPr="00A12D4F">
        <w:rPr>
          <w:rFonts w:eastAsia="Calibri" w:cs="Times New Roman"/>
          <w:bCs/>
          <w:i/>
          <w:color w:val="000000"/>
          <w:lang w:eastAsia="ar-SA"/>
        </w:rPr>
        <w:t xml:space="preserve"> sēdē</w:t>
      </w:r>
    </w:p>
    <w:p w:rsidR="007F3B90" w:rsidRDefault="007F3B90" w:rsidP="007F3B90">
      <w:pPr>
        <w:tabs>
          <w:tab w:val="left" w:pos="851"/>
        </w:tabs>
        <w:ind w:left="426" w:right="2" w:hanging="357"/>
        <w:jc w:val="right"/>
        <w:rPr>
          <w:rFonts w:eastAsia="Calibri" w:cs="Times New Roman"/>
          <w:bCs/>
          <w:i/>
          <w:noProof/>
          <w:color w:val="000000"/>
        </w:rPr>
      </w:pPr>
      <w:r w:rsidRPr="00A12D4F">
        <w:rPr>
          <w:rFonts w:eastAsia="Calibri" w:cs="Times New Roman"/>
          <w:b/>
          <w:i/>
          <w:noProof/>
          <w:color w:val="000000"/>
        </w:rPr>
        <w:t xml:space="preserve"> </w:t>
      </w:r>
      <w:r w:rsidRPr="00A12D4F">
        <w:rPr>
          <w:rFonts w:eastAsia="Calibri" w:cs="Times New Roman"/>
          <w:bCs/>
          <w:i/>
          <w:noProof/>
          <w:color w:val="000000"/>
        </w:rPr>
        <w:t>(prot. Nr.</w:t>
      </w:r>
      <w:r w:rsidR="00F10745">
        <w:rPr>
          <w:rFonts w:eastAsia="Calibri" w:cs="Times New Roman"/>
          <w:bCs/>
          <w:i/>
          <w:noProof/>
          <w:color w:val="000000"/>
        </w:rPr>
        <w:t>2</w:t>
      </w:r>
      <w:r w:rsidRPr="00A12D4F">
        <w:rPr>
          <w:rFonts w:eastAsia="Calibri" w:cs="Times New Roman"/>
          <w:bCs/>
          <w:i/>
          <w:noProof/>
          <w:color w:val="000000"/>
        </w:rPr>
        <w:t>/201</w:t>
      </w:r>
      <w:r>
        <w:rPr>
          <w:rFonts w:eastAsia="Calibri" w:cs="Times New Roman"/>
          <w:bCs/>
          <w:i/>
          <w:noProof/>
          <w:color w:val="000000"/>
        </w:rPr>
        <w:t>8</w:t>
      </w:r>
      <w:r w:rsidRPr="00A12D4F">
        <w:rPr>
          <w:rFonts w:eastAsia="Calibri" w:cs="Times New Roman"/>
          <w:bCs/>
          <w:i/>
          <w:noProof/>
          <w:color w:val="000000"/>
        </w:rPr>
        <w:t>§</w:t>
      </w:r>
      <w:r w:rsidR="00F10745">
        <w:rPr>
          <w:rFonts w:eastAsia="Calibri" w:cs="Times New Roman"/>
          <w:bCs/>
          <w:i/>
          <w:noProof/>
          <w:color w:val="000000"/>
        </w:rPr>
        <w:t>27</w:t>
      </w:r>
      <w:r w:rsidRPr="00A12D4F">
        <w:rPr>
          <w:rFonts w:eastAsia="Calibri" w:cs="Times New Roman"/>
          <w:bCs/>
          <w:i/>
          <w:noProof/>
          <w:color w:val="000000"/>
        </w:rPr>
        <w:t>)</w:t>
      </w:r>
    </w:p>
    <w:p w:rsidR="00F10745" w:rsidRDefault="00F10745" w:rsidP="007F3B90">
      <w:pPr>
        <w:tabs>
          <w:tab w:val="left" w:pos="851"/>
        </w:tabs>
        <w:ind w:left="426" w:right="2" w:hanging="357"/>
        <w:jc w:val="right"/>
        <w:rPr>
          <w:rFonts w:eastAsia="Calibri" w:cs="Times New Roman"/>
          <w:bCs/>
          <w:i/>
          <w:noProof/>
          <w:color w:val="000000"/>
        </w:rPr>
      </w:pPr>
      <w:r>
        <w:rPr>
          <w:rFonts w:eastAsia="Calibri" w:cs="Times New Roman"/>
          <w:bCs/>
          <w:i/>
          <w:noProof/>
          <w:color w:val="000000"/>
        </w:rPr>
        <w:t>Precizēti</w:t>
      </w:r>
    </w:p>
    <w:p w:rsidR="00F10745" w:rsidRPr="00A12D4F" w:rsidRDefault="00F10745" w:rsidP="00F10745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  <w:r w:rsidRPr="00A12D4F">
        <w:rPr>
          <w:rFonts w:eastAsia="Calibri" w:cs="Times New Roman"/>
          <w:bCs/>
          <w:i/>
          <w:color w:val="000000"/>
          <w:lang w:eastAsia="ar-SA"/>
        </w:rPr>
        <w:t>Saulkrastu novada domes</w:t>
      </w:r>
    </w:p>
    <w:p w:rsidR="00F10745" w:rsidRPr="00A12D4F" w:rsidRDefault="00F10745" w:rsidP="00F10745">
      <w:pPr>
        <w:shd w:val="clear" w:color="auto" w:fill="FFFFFF"/>
        <w:tabs>
          <w:tab w:val="left" w:pos="851"/>
        </w:tabs>
        <w:suppressAutoHyphens/>
        <w:ind w:left="357" w:right="-23" w:hanging="357"/>
        <w:jc w:val="right"/>
        <w:rPr>
          <w:rFonts w:eastAsia="Calibri" w:cs="Times New Roman"/>
          <w:bCs/>
          <w:i/>
          <w:color w:val="000000"/>
          <w:lang w:eastAsia="ar-SA"/>
        </w:rPr>
      </w:pPr>
      <w:proofErr w:type="gramStart"/>
      <w:r w:rsidRPr="00A12D4F">
        <w:rPr>
          <w:rFonts w:eastAsia="Calibri" w:cs="Times New Roman"/>
          <w:bCs/>
          <w:i/>
          <w:color w:val="000000"/>
          <w:lang w:eastAsia="ar-SA"/>
        </w:rPr>
        <w:t>201</w:t>
      </w:r>
      <w:r>
        <w:rPr>
          <w:rFonts w:eastAsia="Calibri" w:cs="Times New Roman"/>
          <w:bCs/>
          <w:i/>
          <w:color w:val="000000"/>
          <w:lang w:eastAsia="ar-SA"/>
        </w:rPr>
        <w:t>8</w:t>
      </w:r>
      <w:r w:rsidRPr="00A12D4F">
        <w:rPr>
          <w:rFonts w:eastAsia="Calibri" w:cs="Times New Roman"/>
          <w:bCs/>
          <w:i/>
          <w:color w:val="000000"/>
          <w:lang w:eastAsia="ar-SA"/>
        </w:rPr>
        <w:t>.gada</w:t>
      </w:r>
      <w:proofErr w:type="gramEnd"/>
      <w:r w:rsidRPr="00A12D4F">
        <w:rPr>
          <w:rFonts w:eastAsia="Calibri" w:cs="Times New Roman"/>
          <w:bCs/>
          <w:i/>
          <w:color w:val="000000"/>
          <w:lang w:eastAsia="ar-SA"/>
        </w:rPr>
        <w:t xml:space="preserve"> </w:t>
      </w:r>
      <w:r w:rsidR="003B6DC7">
        <w:rPr>
          <w:rFonts w:eastAsia="Calibri" w:cs="Times New Roman"/>
          <w:bCs/>
          <w:i/>
          <w:color w:val="000000"/>
          <w:lang w:eastAsia="ar-SA"/>
        </w:rPr>
        <w:t>25</w:t>
      </w:r>
      <w:r>
        <w:rPr>
          <w:rFonts w:eastAsia="Calibri" w:cs="Times New Roman"/>
          <w:bCs/>
          <w:i/>
          <w:color w:val="000000"/>
          <w:lang w:eastAsia="ar-SA"/>
        </w:rPr>
        <w:t>.</w:t>
      </w:r>
      <w:r w:rsidR="003B6DC7">
        <w:rPr>
          <w:rFonts w:eastAsia="Calibri" w:cs="Times New Roman"/>
          <w:bCs/>
          <w:i/>
          <w:color w:val="000000"/>
          <w:lang w:eastAsia="ar-SA"/>
        </w:rPr>
        <w:t xml:space="preserve">aprīļa </w:t>
      </w:r>
      <w:r w:rsidRPr="00A12D4F">
        <w:rPr>
          <w:rFonts w:eastAsia="Calibri" w:cs="Times New Roman"/>
          <w:bCs/>
          <w:i/>
          <w:color w:val="000000"/>
          <w:lang w:eastAsia="ar-SA"/>
        </w:rPr>
        <w:t xml:space="preserve"> sēdē</w:t>
      </w:r>
    </w:p>
    <w:p w:rsidR="00F10745" w:rsidRDefault="00F10745" w:rsidP="00F10745">
      <w:pPr>
        <w:tabs>
          <w:tab w:val="left" w:pos="851"/>
        </w:tabs>
        <w:ind w:left="426" w:right="2" w:hanging="357"/>
        <w:jc w:val="right"/>
        <w:rPr>
          <w:rFonts w:eastAsia="Calibri" w:cs="Times New Roman"/>
          <w:bCs/>
          <w:i/>
          <w:noProof/>
          <w:color w:val="000000"/>
        </w:rPr>
      </w:pPr>
      <w:r w:rsidRPr="00A12D4F">
        <w:rPr>
          <w:rFonts w:eastAsia="Calibri" w:cs="Times New Roman"/>
          <w:b/>
          <w:i/>
          <w:noProof/>
          <w:color w:val="000000"/>
        </w:rPr>
        <w:t xml:space="preserve"> </w:t>
      </w:r>
      <w:r w:rsidRPr="00A12D4F">
        <w:rPr>
          <w:rFonts w:eastAsia="Calibri" w:cs="Times New Roman"/>
          <w:bCs/>
          <w:i/>
          <w:noProof/>
          <w:color w:val="000000"/>
        </w:rPr>
        <w:t>(prot. Nr.</w:t>
      </w:r>
      <w:r w:rsidR="003B6DC7">
        <w:rPr>
          <w:rFonts w:eastAsia="Calibri" w:cs="Times New Roman"/>
          <w:bCs/>
          <w:i/>
          <w:noProof/>
          <w:color w:val="000000"/>
        </w:rPr>
        <w:t>5</w:t>
      </w:r>
      <w:r w:rsidRPr="00A12D4F">
        <w:rPr>
          <w:rFonts w:eastAsia="Calibri" w:cs="Times New Roman"/>
          <w:bCs/>
          <w:i/>
          <w:noProof/>
          <w:color w:val="000000"/>
        </w:rPr>
        <w:t>/201</w:t>
      </w:r>
      <w:r>
        <w:rPr>
          <w:rFonts w:eastAsia="Calibri" w:cs="Times New Roman"/>
          <w:bCs/>
          <w:i/>
          <w:noProof/>
          <w:color w:val="000000"/>
        </w:rPr>
        <w:t>8</w:t>
      </w:r>
      <w:r w:rsidRPr="00A12D4F">
        <w:rPr>
          <w:rFonts w:eastAsia="Calibri" w:cs="Times New Roman"/>
          <w:bCs/>
          <w:i/>
          <w:noProof/>
          <w:color w:val="000000"/>
        </w:rPr>
        <w:t>§</w:t>
      </w:r>
      <w:bookmarkStart w:id="0" w:name="_GoBack"/>
      <w:r w:rsidR="003B6DC7">
        <w:rPr>
          <w:rFonts w:eastAsia="Calibri" w:cs="Times New Roman"/>
          <w:bCs/>
          <w:i/>
          <w:noProof/>
          <w:color w:val="000000"/>
        </w:rPr>
        <w:t>7</w:t>
      </w:r>
      <w:bookmarkEnd w:id="0"/>
      <w:r w:rsidRPr="00A12D4F">
        <w:rPr>
          <w:rFonts w:eastAsia="Calibri" w:cs="Times New Roman"/>
          <w:bCs/>
          <w:i/>
          <w:noProof/>
          <w:color w:val="000000"/>
        </w:rPr>
        <w:t>)</w:t>
      </w:r>
    </w:p>
    <w:p w:rsidR="007F3B90" w:rsidRDefault="007F3B90" w:rsidP="00491937"/>
    <w:p w:rsidR="00491937" w:rsidRPr="008D48D1" w:rsidRDefault="00691034" w:rsidP="008D48D1">
      <w:pPr>
        <w:jc w:val="center"/>
        <w:rPr>
          <w:b/>
        </w:rPr>
      </w:pPr>
      <w:r>
        <w:rPr>
          <w:b/>
        </w:rPr>
        <w:t>Saistošie noteikumi p</w:t>
      </w:r>
      <w:r w:rsidR="00491937" w:rsidRPr="008D48D1">
        <w:rPr>
          <w:b/>
        </w:rPr>
        <w:t xml:space="preserve">ar </w:t>
      </w:r>
      <w:r w:rsidR="00243091">
        <w:rPr>
          <w:b/>
        </w:rPr>
        <w:t>kārtību, kā</w:t>
      </w:r>
      <w:r w:rsidR="00A64139">
        <w:rPr>
          <w:b/>
        </w:rPr>
        <w:t>dā Saulkrastu novada</w:t>
      </w:r>
      <w:r w:rsidR="004378BF">
        <w:rPr>
          <w:b/>
        </w:rPr>
        <w:t xml:space="preserve"> pašvaldība</w:t>
      </w:r>
      <w:r w:rsidR="00A64139">
        <w:rPr>
          <w:b/>
        </w:rPr>
        <w:t xml:space="preserve"> sniedz </w:t>
      </w:r>
      <w:r w:rsidR="00D66EE4">
        <w:rPr>
          <w:b/>
        </w:rPr>
        <w:t>atbalstu</w:t>
      </w:r>
      <w:r w:rsidR="00A64139">
        <w:rPr>
          <w:b/>
        </w:rPr>
        <w:t xml:space="preserve"> </w:t>
      </w:r>
      <w:r w:rsidR="00491937" w:rsidRPr="008D48D1">
        <w:rPr>
          <w:b/>
        </w:rPr>
        <w:t>energoefektivitātes pasākumu veikšanai daudzdzīvokļu dzīvojamās mājās</w:t>
      </w:r>
    </w:p>
    <w:p w:rsidR="00491937" w:rsidRPr="008D48D1" w:rsidRDefault="00491937" w:rsidP="008D48D1">
      <w:pPr>
        <w:jc w:val="center"/>
        <w:rPr>
          <w:b/>
        </w:rPr>
      </w:pPr>
    </w:p>
    <w:p w:rsidR="00491937" w:rsidRDefault="00491937" w:rsidP="00491937"/>
    <w:p w:rsidR="00491937" w:rsidRDefault="00491937" w:rsidP="00491937"/>
    <w:p w:rsidR="008D48D1" w:rsidRDefault="00491937" w:rsidP="008D48D1">
      <w:pPr>
        <w:jc w:val="right"/>
        <w:rPr>
          <w:i/>
        </w:rPr>
      </w:pPr>
      <w:r w:rsidRPr="008D48D1">
        <w:rPr>
          <w:i/>
        </w:rPr>
        <w:t>Izdoti saskaņā ar likuma ”Par pašvaldībām”</w:t>
      </w:r>
    </w:p>
    <w:p w:rsidR="008D48D1" w:rsidRDefault="00491937" w:rsidP="008D48D1">
      <w:pPr>
        <w:jc w:val="right"/>
        <w:rPr>
          <w:i/>
        </w:rPr>
      </w:pPr>
      <w:r w:rsidRPr="008D48D1">
        <w:rPr>
          <w:i/>
        </w:rPr>
        <w:t xml:space="preserve"> 43.panta pirmās daļas 13.punktu</w:t>
      </w:r>
      <w:r w:rsidR="008D48D1">
        <w:rPr>
          <w:i/>
        </w:rPr>
        <w:t>,</w:t>
      </w:r>
    </w:p>
    <w:p w:rsidR="008D48D1" w:rsidRDefault="00491937" w:rsidP="008D48D1">
      <w:pPr>
        <w:jc w:val="right"/>
        <w:rPr>
          <w:i/>
        </w:rPr>
      </w:pPr>
      <w:r w:rsidRPr="008D48D1">
        <w:rPr>
          <w:i/>
        </w:rPr>
        <w:t xml:space="preserve"> likuma Par palīdzību dzīvokļa jautājumu risināšanā </w:t>
      </w:r>
    </w:p>
    <w:p w:rsidR="00491937" w:rsidRPr="008D48D1" w:rsidRDefault="00491937" w:rsidP="008D48D1">
      <w:pPr>
        <w:jc w:val="right"/>
        <w:rPr>
          <w:i/>
        </w:rPr>
      </w:pPr>
      <w:r w:rsidRPr="008D48D1">
        <w:rPr>
          <w:i/>
        </w:rPr>
        <w:t>27.</w:t>
      </w:r>
      <w:r w:rsidRPr="008D48D1">
        <w:rPr>
          <w:i/>
          <w:vertAlign w:val="superscript"/>
        </w:rPr>
        <w:t>2</w:t>
      </w:r>
      <w:r w:rsidR="008D48D1">
        <w:rPr>
          <w:i/>
        </w:rPr>
        <w:t xml:space="preserve"> </w:t>
      </w:r>
      <w:r w:rsidRPr="008D48D1">
        <w:rPr>
          <w:i/>
        </w:rPr>
        <w:t>panta piekto daļu</w:t>
      </w:r>
    </w:p>
    <w:p w:rsidR="008D48D1" w:rsidRDefault="008D48D1" w:rsidP="00491937"/>
    <w:p w:rsidR="00491937" w:rsidRDefault="00491937" w:rsidP="00A04A77">
      <w:pPr>
        <w:jc w:val="center"/>
      </w:pPr>
      <w:r>
        <w:t>I. Vispārīgie jautājumi</w:t>
      </w:r>
    </w:p>
    <w:p w:rsidR="00491937" w:rsidRDefault="00491937" w:rsidP="00A04A77">
      <w:pPr>
        <w:pStyle w:val="ListParagraph"/>
        <w:numPr>
          <w:ilvl w:val="0"/>
          <w:numId w:val="1"/>
        </w:numPr>
        <w:jc w:val="both"/>
      </w:pPr>
      <w:r>
        <w:t xml:space="preserve">Saistošie noteikumi (turpmāk - Noteikumi) nosaka kārtību, kādā </w:t>
      </w:r>
      <w:r w:rsidR="00154525">
        <w:t>Saulkrastu</w:t>
      </w:r>
      <w:r>
        <w:t xml:space="preserve"> novada pašvaldība (turpmāk - Pašvaldība) atbalsta </w:t>
      </w:r>
      <w:r w:rsidR="00154525">
        <w:t>Saulkrastu</w:t>
      </w:r>
      <w:r>
        <w:t xml:space="preserve"> novada daudzdzīvokļu dzīvojamo māju energoefektivitātes pasākumus, līdzfinansējuma apmērus un piešķiršanas nosacījumus.</w:t>
      </w:r>
    </w:p>
    <w:p w:rsidR="00A61D37" w:rsidRDefault="00491937" w:rsidP="00A04A77">
      <w:pPr>
        <w:pStyle w:val="ListParagraph"/>
        <w:numPr>
          <w:ilvl w:val="0"/>
          <w:numId w:val="1"/>
        </w:numPr>
      </w:pPr>
      <w:r>
        <w:t>Noteikumos lietoti termini:</w:t>
      </w:r>
    </w:p>
    <w:p w:rsidR="00B473F8" w:rsidRPr="00FD02DD" w:rsidRDefault="00491937" w:rsidP="00A04A77">
      <w:pPr>
        <w:pStyle w:val="ListParagraph"/>
        <w:numPr>
          <w:ilvl w:val="1"/>
          <w:numId w:val="1"/>
        </w:numPr>
        <w:jc w:val="both"/>
      </w:pPr>
      <w:r>
        <w:t xml:space="preserve">energoefektivitātes pasākumi – pasākumu kopums daudzdzīvokļu dzīvojamo māju energoefektivitātes paaugstināšanai, viedas </w:t>
      </w:r>
      <w:proofErr w:type="spellStart"/>
      <w:r>
        <w:t>energovadības</w:t>
      </w:r>
      <w:proofErr w:type="spellEnd"/>
      <w:r>
        <w:t xml:space="preserve"> un atjaunojamo resursu </w:t>
      </w:r>
      <w:r w:rsidRPr="00FD02DD">
        <w:t>izmantošanai, kuru ietvaros veic būvniecību, iekārtu iegādi, būvuzraudzību, autoruzraudzību un šo pasākumu vadību;</w:t>
      </w:r>
    </w:p>
    <w:p w:rsidR="00B473F8" w:rsidRDefault="00491937" w:rsidP="00A04A77">
      <w:pPr>
        <w:pStyle w:val="ListParagraph"/>
        <w:numPr>
          <w:ilvl w:val="1"/>
          <w:numId w:val="1"/>
        </w:numPr>
        <w:jc w:val="both"/>
      </w:pPr>
      <w:r w:rsidRPr="00FD02DD">
        <w:t xml:space="preserve">Pašvaldības atbalsts – Pašvaldības līdzfinansējums energoefektivitātes pasākumu veikšanai daudzdzīvokļu dzīvojamās mājās </w:t>
      </w:r>
      <w:r w:rsidR="00FC7A4E" w:rsidRPr="00FD02DD">
        <w:t xml:space="preserve">Saulkrastu </w:t>
      </w:r>
      <w:r w:rsidRPr="00FD02DD">
        <w:t xml:space="preserve"> novadā;</w:t>
      </w:r>
    </w:p>
    <w:p w:rsidR="00FB66A5" w:rsidRPr="00FD02DD" w:rsidRDefault="00FB66A5" w:rsidP="00FB66A5">
      <w:pPr>
        <w:pStyle w:val="ListParagraph"/>
        <w:numPr>
          <w:ilvl w:val="1"/>
          <w:numId w:val="1"/>
        </w:numPr>
        <w:jc w:val="both"/>
      </w:pPr>
      <w:r>
        <w:t xml:space="preserve">Pretendents </w:t>
      </w:r>
      <w:r w:rsidR="0011210E">
        <w:t>–</w:t>
      </w:r>
      <w:r>
        <w:t xml:space="preserve"> </w:t>
      </w:r>
      <w:r w:rsidR="0011210E">
        <w:t xml:space="preserve">daudzdzīvokļu </w:t>
      </w:r>
      <w:r>
        <w:t>dzīvojamās mājas īpašnieks (īpašnieki) vai dzīvokļu īpašnieki, vai normatīvajos aktos noteiktā kārtībā pilnvarotas personas.</w:t>
      </w:r>
    </w:p>
    <w:p w:rsidR="00491937" w:rsidRPr="00FD02DD" w:rsidRDefault="00491937" w:rsidP="00A04A77">
      <w:pPr>
        <w:pStyle w:val="ListParagraph"/>
        <w:numPr>
          <w:ilvl w:val="1"/>
          <w:numId w:val="1"/>
        </w:numPr>
        <w:jc w:val="both"/>
      </w:pPr>
      <w:r w:rsidRPr="00FD02DD">
        <w:t>ES fondu programma – Eiropas Savienības 2014.-</w:t>
      </w:r>
      <w:proofErr w:type="gramStart"/>
      <w:r w:rsidRPr="00FD02DD">
        <w:t>2020.gada</w:t>
      </w:r>
      <w:proofErr w:type="gramEnd"/>
      <w:r w:rsidRPr="00FD02DD">
        <w:t xml:space="preserve"> plānošanas perioda darbības programmas „Izaugsme un nodarbinātība” 4.2.1.specifiskā atbalsta mērķa „Veicināt energoefektivitātes paaugstināšanu valsts un dzīvojamās ēkās” 4.2.1.1. </w:t>
      </w:r>
      <w:r w:rsidRPr="00FD02DD">
        <w:lastRenderedPageBreak/>
        <w:t>specifiskā atbalsta mērķa pasākums „Veicināt energoefektivitātes paaugstināšanu dzīvojamās ēkās”.</w:t>
      </w:r>
    </w:p>
    <w:p w:rsidR="00FC7A4E" w:rsidRPr="00FD02DD" w:rsidRDefault="00491937" w:rsidP="00FC7A4E">
      <w:pPr>
        <w:pStyle w:val="ListParagraph"/>
        <w:numPr>
          <w:ilvl w:val="0"/>
          <w:numId w:val="1"/>
        </w:numPr>
        <w:jc w:val="both"/>
      </w:pPr>
      <w:r w:rsidRPr="00FD02DD">
        <w:t xml:space="preserve">Pašvaldības atbalsts atbilstoši Pašvaldības budžetā šim nolūkam paredzēto finanšu līdzekļu apmēram tiek </w:t>
      </w:r>
      <w:r w:rsidR="0081615F">
        <w:t>Pretendentiem</w:t>
      </w:r>
      <w:r w:rsidR="002949CC" w:rsidRPr="00FD02DD">
        <w:t xml:space="preserve"> namu </w:t>
      </w:r>
      <w:r w:rsidRPr="00FD02DD">
        <w:t xml:space="preserve">energoefektivitātes paaugstināšanas pasākumu </w:t>
      </w:r>
      <w:r w:rsidR="002949CC" w:rsidRPr="00FD02DD">
        <w:t>veikšanai.</w:t>
      </w:r>
      <w:r w:rsidRPr="00FD02DD">
        <w:t xml:space="preserve"> </w:t>
      </w:r>
    </w:p>
    <w:p w:rsidR="00FC7A4E" w:rsidRPr="00FD02DD" w:rsidRDefault="00FC7A4E" w:rsidP="00FC7A4E">
      <w:pPr>
        <w:pStyle w:val="ListParagraph"/>
        <w:jc w:val="both"/>
      </w:pPr>
    </w:p>
    <w:p w:rsidR="00491937" w:rsidRPr="00FD02DD" w:rsidRDefault="00491937" w:rsidP="00FC7A4E">
      <w:pPr>
        <w:pStyle w:val="ListParagraph"/>
        <w:numPr>
          <w:ilvl w:val="0"/>
          <w:numId w:val="2"/>
        </w:numPr>
        <w:jc w:val="center"/>
        <w:rPr>
          <w:b/>
        </w:rPr>
      </w:pPr>
      <w:r w:rsidRPr="00FD02DD">
        <w:rPr>
          <w:b/>
        </w:rPr>
        <w:t>Pašvaldības atbalsta nosacījumi</w:t>
      </w:r>
    </w:p>
    <w:p w:rsidR="00FC7A4E" w:rsidRPr="00FD02DD" w:rsidRDefault="00491937" w:rsidP="00F93505">
      <w:pPr>
        <w:pStyle w:val="ListParagraph"/>
        <w:numPr>
          <w:ilvl w:val="0"/>
          <w:numId w:val="1"/>
        </w:numPr>
        <w:jc w:val="both"/>
      </w:pPr>
      <w:r w:rsidRPr="00FD02DD">
        <w:t xml:space="preserve">Pašvaldības atbalsts tiek piešķirts EUR </w:t>
      </w:r>
      <w:r w:rsidR="00FC7A4E" w:rsidRPr="00FD02DD">
        <w:t>30</w:t>
      </w:r>
      <w:r w:rsidRPr="00FD02DD">
        <w:t>00,00 (</w:t>
      </w:r>
      <w:r w:rsidR="00FC7A4E" w:rsidRPr="00FD02DD">
        <w:t>trīs tūkstoši</w:t>
      </w:r>
      <w:r w:rsidRPr="00FD02DD">
        <w:t xml:space="preserve"> </w:t>
      </w:r>
      <w:proofErr w:type="spellStart"/>
      <w:r w:rsidRPr="00FD02DD">
        <w:t>euro</w:t>
      </w:r>
      <w:proofErr w:type="spellEnd"/>
      <w:r w:rsidRPr="00FD02DD">
        <w:t>) apmērā vienai daudzdzīvokļu dzīvojamai mājai.</w:t>
      </w:r>
      <w:r w:rsidR="00FC7A4E" w:rsidRPr="00FD02DD">
        <w:t xml:space="preserve"> </w:t>
      </w:r>
    </w:p>
    <w:p w:rsidR="00BF4043" w:rsidRPr="00FD02DD" w:rsidRDefault="00491937" w:rsidP="009C3CB7">
      <w:pPr>
        <w:pStyle w:val="ListParagraph"/>
        <w:numPr>
          <w:ilvl w:val="0"/>
          <w:numId w:val="1"/>
        </w:numPr>
        <w:jc w:val="both"/>
      </w:pPr>
      <w:r w:rsidRPr="00FD02DD">
        <w:t xml:space="preserve">Uz Pašvaldības atbalstu var pretendēt </w:t>
      </w:r>
      <w:r w:rsidR="00645231">
        <w:t>Pretendents</w:t>
      </w:r>
      <w:r w:rsidRPr="00FD02DD">
        <w:t>, ja</w:t>
      </w:r>
      <w:r w:rsidR="00BF4043" w:rsidRPr="00FD02DD">
        <w:t>:</w:t>
      </w:r>
    </w:p>
    <w:p w:rsidR="00BF4043" w:rsidRPr="00FD02DD" w:rsidRDefault="00491937" w:rsidP="009C3CB7">
      <w:pPr>
        <w:pStyle w:val="ListParagraph"/>
        <w:numPr>
          <w:ilvl w:val="1"/>
          <w:numId w:val="1"/>
        </w:numPr>
        <w:jc w:val="both"/>
      </w:pPr>
      <w:r w:rsidRPr="00FD02DD">
        <w:t xml:space="preserve">dzīvojamā māja atrodas </w:t>
      </w:r>
      <w:r w:rsidR="00BF4043" w:rsidRPr="00FD02DD">
        <w:t>Saulkrastu</w:t>
      </w:r>
      <w:r w:rsidRPr="00FD02DD">
        <w:t xml:space="preserve"> novada teritorijā un ir nodota ekspluatācijā līdz 2000.gadam;</w:t>
      </w:r>
    </w:p>
    <w:p w:rsidR="00BB37B3" w:rsidRDefault="00491937" w:rsidP="00F93505">
      <w:pPr>
        <w:pStyle w:val="ListParagraph"/>
        <w:numPr>
          <w:ilvl w:val="1"/>
          <w:numId w:val="1"/>
        </w:numPr>
        <w:jc w:val="both"/>
      </w:pPr>
      <w:r w:rsidRPr="00FD02DD">
        <w:t>dzīvojamā māja ir reģistrēta Nekustamā īpašuma valsts kadastra informācijas sistēmā, tajā ir vismaz piecas dzīvojamo telpu grupas, vienam dzīvokļa īpašniekam pieder ne vairāk kā 20% no kopējā dzīvokļu īpašumu skaita, un nedzīvojamo telpu grupas (izņemot neapkurināmas bēniņu un pagraba telpu platības) neaizņem vairāk pa</w:t>
      </w:r>
      <w:r w:rsidR="009C3CB7" w:rsidRPr="00FD02DD">
        <w:t>r 25 % no ēkas kopējās platības;</w:t>
      </w:r>
    </w:p>
    <w:p w:rsidR="009C3CB7" w:rsidRPr="00FD02DD" w:rsidRDefault="00491937" w:rsidP="00491937">
      <w:pPr>
        <w:pStyle w:val="ListParagraph"/>
        <w:numPr>
          <w:ilvl w:val="1"/>
          <w:numId w:val="1"/>
        </w:numPr>
        <w:jc w:val="both"/>
      </w:pPr>
      <w:bookmarkStart w:id="1" w:name="_Ref506381723"/>
      <w:r w:rsidRPr="00FD02DD">
        <w:t>dzīvokļu īpašnieki, kuri pārstāv 2/3 no visiem dzīvokļu īpašumiem, normatīvajos aktos noteiktajā kārtībā pieņēmuši dzīvokļu īpašnieku kopības lēmumu veikt energoefektivitātes pasākumus dzīvojamā mājā, piedaloties “Attīstības finanšu institūcijas “</w:t>
      </w:r>
      <w:proofErr w:type="spellStart"/>
      <w:r w:rsidRPr="00FD02DD">
        <w:t>Altum</w:t>
      </w:r>
      <w:proofErr w:type="spellEnd"/>
      <w:r w:rsidRPr="00FD02DD">
        <w:t>”” administrētajā programmā, izstrādāt tehnisko dokumentāciju, apmaksāt ar to saistītos izdevumus, kā arī vienojušies par šim mērķim nepieciešamo līdzekļu ieguves veidu.</w:t>
      </w:r>
      <w:bookmarkEnd w:id="1"/>
    </w:p>
    <w:p w:rsidR="00491937" w:rsidRPr="00FD02DD" w:rsidRDefault="00491937" w:rsidP="009C3CB7">
      <w:pPr>
        <w:pStyle w:val="ListParagraph"/>
        <w:numPr>
          <w:ilvl w:val="0"/>
          <w:numId w:val="1"/>
        </w:numPr>
        <w:jc w:val="both"/>
      </w:pPr>
      <w:r w:rsidRPr="00FD02DD">
        <w:t>Par vienu dzīvojamo māju var iesniegt tikai vienu pieteikumu Pašvaldības atbalsta saņemšanai.</w:t>
      </w:r>
    </w:p>
    <w:p w:rsidR="00C618B9" w:rsidRPr="00FD02DD" w:rsidRDefault="00C618B9" w:rsidP="00C618B9">
      <w:pPr>
        <w:pStyle w:val="ListParagraph"/>
        <w:jc w:val="both"/>
      </w:pPr>
    </w:p>
    <w:p w:rsidR="00491937" w:rsidRPr="00FD02DD" w:rsidRDefault="00491937" w:rsidP="001576D1">
      <w:pPr>
        <w:jc w:val="center"/>
        <w:rPr>
          <w:b/>
        </w:rPr>
      </w:pPr>
      <w:r w:rsidRPr="00FD02DD">
        <w:rPr>
          <w:b/>
        </w:rPr>
        <w:t>III. Pieteikuma iesniegšanas un izskatīšanas kārtība</w:t>
      </w:r>
    </w:p>
    <w:p w:rsidR="000D250A" w:rsidRPr="00FD02DD" w:rsidRDefault="00491937" w:rsidP="00491937">
      <w:pPr>
        <w:pStyle w:val="ListParagraph"/>
        <w:numPr>
          <w:ilvl w:val="0"/>
          <w:numId w:val="1"/>
        </w:numPr>
      </w:pPr>
      <w:bookmarkStart w:id="2" w:name="_Ref506382309"/>
      <w:r w:rsidRPr="00FD02DD">
        <w:t xml:space="preserve">Lai pretendētu uz Pašvaldības atbalstu, </w:t>
      </w:r>
      <w:r w:rsidR="0081615F">
        <w:t xml:space="preserve">Pretendents </w:t>
      </w:r>
      <w:r w:rsidR="00E03FB8" w:rsidRPr="00FD02DD">
        <w:t xml:space="preserve">Pašvaldībā </w:t>
      </w:r>
      <w:r w:rsidRPr="00FD02DD">
        <w:t>iesniedz pieteikumu (turpmāk - Pieteikums), kam pievienot</w:t>
      </w:r>
      <w:r w:rsidR="00680CFE">
        <w:t>i šādi dokumenti</w:t>
      </w:r>
      <w:r w:rsidRPr="00FD02DD">
        <w:t>:</w:t>
      </w:r>
      <w:bookmarkEnd w:id="2"/>
    </w:p>
    <w:p w:rsidR="000D250A" w:rsidRPr="00FD02DD" w:rsidRDefault="00491937" w:rsidP="00491937">
      <w:pPr>
        <w:pStyle w:val="ListParagraph"/>
        <w:numPr>
          <w:ilvl w:val="1"/>
          <w:numId w:val="1"/>
        </w:numPr>
      </w:pPr>
      <w:r w:rsidRPr="00FD02DD">
        <w:t xml:space="preserve">Noteikumu </w:t>
      </w:r>
      <w:r w:rsidR="001576D1" w:rsidRPr="00FD02DD">
        <w:fldChar w:fldCharType="begin"/>
      </w:r>
      <w:r w:rsidR="001576D1" w:rsidRPr="00FD02DD">
        <w:instrText xml:space="preserve"> REF _Ref506381723 \r \h </w:instrText>
      </w:r>
      <w:r w:rsidR="00FD02DD">
        <w:instrText xml:space="preserve"> \* MERGEFORMAT </w:instrText>
      </w:r>
      <w:r w:rsidR="001576D1" w:rsidRPr="00FD02DD">
        <w:fldChar w:fldCharType="separate"/>
      </w:r>
      <w:r w:rsidR="000D6345">
        <w:t>5.3</w:t>
      </w:r>
      <w:r w:rsidR="001576D1" w:rsidRPr="00FD02DD">
        <w:fldChar w:fldCharType="end"/>
      </w:r>
      <w:r w:rsidRPr="00FD02DD">
        <w:t>.punktā noteikto dzīvokļu īpašnieku kopības lēmuma kopij</w:t>
      </w:r>
      <w:r w:rsidR="004D2667">
        <w:t>a</w:t>
      </w:r>
      <w:r w:rsidRPr="00FD02DD">
        <w:t>,</w:t>
      </w:r>
    </w:p>
    <w:p w:rsidR="000D250A" w:rsidRPr="00FD02DD" w:rsidRDefault="00491937" w:rsidP="00491937">
      <w:pPr>
        <w:pStyle w:val="ListParagraph"/>
        <w:numPr>
          <w:ilvl w:val="1"/>
          <w:numId w:val="1"/>
        </w:numPr>
      </w:pPr>
      <w:r w:rsidRPr="00FD02DD">
        <w:t>dzīvojamās mājas pārvaldīšanas līguma kopija;</w:t>
      </w:r>
    </w:p>
    <w:p w:rsidR="000D250A" w:rsidRPr="00FD02DD" w:rsidRDefault="000D250A" w:rsidP="000D250A">
      <w:pPr>
        <w:pStyle w:val="ListParagraph"/>
        <w:numPr>
          <w:ilvl w:val="1"/>
          <w:numId w:val="1"/>
        </w:numPr>
      </w:pPr>
      <w:r w:rsidRPr="00FD02DD">
        <w:t>a</w:t>
      </w:r>
      <w:r w:rsidR="001576D1" w:rsidRPr="00FD02DD">
        <w:t xml:space="preserve">tzinums no ALTUM par </w:t>
      </w:r>
      <w:r w:rsidR="00AD326B">
        <w:t>energoefektivitātes paaugstināšanas pasākumu tehnisko dokumentāciju</w:t>
      </w:r>
      <w:r w:rsidRPr="00FD02DD">
        <w:t>;</w:t>
      </w:r>
    </w:p>
    <w:p w:rsidR="001576D1" w:rsidRPr="00FD02DD" w:rsidRDefault="000D250A" w:rsidP="00491937">
      <w:pPr>
        <w:pStyle w:val="ListParagraph"/>
        <w:numPr>
          <w:ilvl w:val="1"/>
          <w:numId w:val="1"/>
        </w:numPr>
      </w:pPr>
      <w:r w:rsidRPr="00FD02DD">
        <w:t>būvdarbu veikšanas līguma kopija;</w:t>
      </w:r>
    </w:p>
    <w:p w:rsidR="000D250A" w:rsidRPr="00FD02DD" w:rsidRDefault="000D250A" w:rsidP="00491937">
      <w:pPr>
        <w:pStyle w:val="ListParagraph"/>
        <w:numPr>
          <w:ilvl w:val="1"/>
          <w:numId w:val="1"/>
        </w:numPr>
      </w:pPr>
      <w:r w:rsidRPr="00FD02DD">
        <w:t>būvuzraudzības līguma kopija;</w:t>
      </w:r>
    </w:p>
    <w:p w:rsidR="000D250A" w:rsidRPr="00FD02DD" w:rsidRDefault="000D250A" w:rsidP="00491937">
      <w:pPr>
        <w:pStyle w:val="ListParagraph"/>
        <w:numPr>
          <w:ilvl w:val="1"/>
          <w:numId w:val="1"/>
        </w:numPr>
      </w:pPr>
      <w:r w:rsidRPr="00FD02DD">
        <w:t>autoruzraudzības līguma kopija;</w:t>
      </w:r>
    </w:p>
    <w:p w:rsidR="00C618B9" w:rsidRPr="00FD02DD" w:rsidRDefault="000D250A" w:rsidP="00491937">
      <w:pPr>
        <w:pStyle w:val="ListParagraph"/>
        <w:numPr>
          <w:ilvl w:val="1"/>
          <w:numId w:val="1"/>
        </w:numPr>
      </w:pPr>
      <w:r w:rsidRPr="00FD02DD">
        <w:t>projekta vadības līguma kopija.</w:t>
      </w:r>
    </w:p>
    <w:p w:rsidR="00BE4930" w:rsidRDefault="00764731" w:rsidP="006536DC">
      <w:pPr>
        <w:pStyle w:val="ListParagraph"/>
        <w:numPr>
          <w:ilvl w:val="0"/>
          <w:numId w:val="1"/>
        </w:numPr>
        <w:jc w:val="both"/>
      </w:pPr>
      <w:r w:rsidRPr="00FD02DD">
        <w:t>P</w:t>
      </w:r>
      <w:r w:rsidR="007215C7" w:rsidRPr="00FD02DD">
        <w:t>ašvaldība ir tiesīga</w:t>
      </w:r>
      <w:r w:rsidR="00491937" w:rsidRPr="00FD02DD">
        <w:t xml:space="preserve"> pieprasīt papildus informāciju saistībā ar Pašvaldības atbalsta piešķiršanu.</w:t>
      </w:r>
      <w:r w:rsidRPr="00FD02DD">
        <w:t xml:space="preserve"> </w:t>
      </w:r>
    </w:p>
    <w:p w:rsidR="00764731" w:rsidRPr="00FD02DD" w:rsidRDefault="00764731" w:rsidP="0089262B">
      <w:pPr>
        <w:pStyle w:val="ListParagraph"/>
        <w:numPr>
          <w:ilvl w:val="0"/>
          <w:numId w:val="1"/>
        </w:numPr>
        <w:jc w:val="both"/>
      </w:pPr>
      <w:r w:rsidRPr="00FD02DD">
        <w:t>Pieteikumus izskata t</w:t>
      </w:r>
      <w:r w:rsidR="007215C7" w:rsidRPr="00FD02DD">
        <w:t>o reģistrācijas secībā</w:t>
      </w:r>
      <w:r w:rsidRPr="00FD02DD">
        <w:t>.</w:t>
      </w:r>
    </w:p>
    <w:p w:rsidR="00823FDF" w:rsidRDefault="00491937" w:rsidP="00491937">
      <w:pPr>
        <w:pStyle w:val="ListParagraph"/>
        <w:numPr>
          <w:ilvl w:val="0"/>
          <w:numId w:val="1"/>
        </w:numPr>
        <w:jc w:val="both"/>
      </w:pPr>
      <w:r>
        <w:t xml:space="preserve">Ja attiecīgā kalendārā gada laikā Pašvaldības atbalsta saņemšanai iesniegts vairāk Pieteikumu nekā Pašvaldības budžetā šim mērķim paredzēti budžeta līdzekļi, par Pieteikumiem, kuri atbilst Noteikumu prasībām, </w:t>
      </w:r>
      <w:r w:rsidR="00823FDF">
        <w:t>Pašvaldība</w:t>
      </w:r>
      <w:r>
        <w:t xml:space="preserve"> pieņem lēmumu par atteikumu piešķirt Pašvaldības atbalstu un Pieteikumu iekļaušanu izskatīšanai ri</w:t>
      </w:r>
      <w:r w:rsidR="00823FDF">
        <w:t xml:space="preserve">ndas kārtībā uz </w:t>
      </w:r>
      <w:proofErr w:type="gramStart"/>
      <w:r w:rsidR="00823FDF">
        <w:t>nākošo gadu</w:t>
      </w:r>
      <w:proofErr w:type="gramEnd"/>
      <w:r w:rsidR="00823FDF">
        <w:t>.</w:t>
      </w:r>
    </w:p>
    <w:p w:rsidR="00491937" w:rsidRDefault="00491937" w:rsidP="00C70995">
      <w:pPr>
        <w:pStyle w:val="ListParagraph"/>
        <w:numPr>
          <w:ilvl w:val="0"/>
          <w:numId w:val="1"/>
        </w:numPr>
      </w:pPr>
      <w:r>
        <w:t>Pašvaldības domes lēmumus var pārsūdzēt Administratīvā procesa likuma kārtībā.</w:t>
      </w:r>
    </w:p>
    <w:p w:rsidR="00C70995" w:rsidRDefault="00C70995" w:rsidP="00C70995">
      <w:pPr>
        <w:pStyle w:val="ListParagraph"/>
      </w:pPr>
    </w:p>
    <w:p w:rsidR="00491937" w:rsidRPr="00C70995" w:rsidRDefault="00491937" w:rsidP="00C70995">
      <w:pPr>
        <w:jc w:val="center"/>
        <w:rPr>
          <w:b/>
        </w:rPr>
      </w:pPr>
      <w:r w:rsidRPr="00C70995">
        <w:rPr>
          <w:b/>
        </w:rPr>
        <w:t>IV. Pašvaldības atbalsta piešķiršanas un pārskaitīšanas kārtība</w:t>
      </w:r>
    </w:p>
    <w:p w:rsidR="006751CC" w:rsidRDefault="00491937" w:rsidP="00DA507B">
      <w:pPr>
        <w:pStyle w:val="ListParagraph"/>
        <w:numPr>
          <w:ilvl w:val="0"/>
          <w:numId w:val="1"/>
        </w:numPr>
        <w:jc w:val="both"/>
      </w:pPr>
      <w:r>
        <w:t>Lēmumu par Pašvaldības atbalsta piešķiršanu pieņem Pašvaldības dome.</w:t>
      </w:r>
    </w:p>
    <w:p w:rsidR="006751CC" w:rsidRDefault="004334FD" w:rsidP="00F6758C">
      <w:pPr>
        <w:pStyle w:val="ListParagraph"/>
        <w:numPr>
          <w:ilvl w:val="0"/>
          <w:numId w:val="1"/>
        </w:numPr>
        <w:jc w:val="both"/>
      </w:pPr>
      <w:bookmarkStart w:id="3" w:name="_Ref511053966"/>
      <w:r>
        <w:lastRenderedPageBreak/>
        <w:t>Pretendents</w:t>
      </w:r>
      <w:r w:rsidR="00491937">
        <w:t xml:space="preserve"> mēneša laikā pēc Pašvaldības domes lēmuma par Pašvaldības atbalsta piešķiršanu </w:t>
      </w:r>
      <w:r w:rsidR="00F6758C">
        <w:t xml:space="preserve">spēkā stāšanās, </w:t>
      </w:r>
      <w:r w:rsidR="00491937">
        <w:t>slēdz līgumu ar Pašvaldību.</w:t>
      </w:r>
      <w:bookmarkEnd w:id="3"/>
      <w:r w:rsidR="00491937">
        <w:t xml:space="preserve"> </w:t>
      </w:r>
    </w:p>
    <w:p w:rsidR="00FF72B0" w:rsidRPr="00064738" w:rsidRDefault="00491937" w:rsidP="00F6758C">
      <w:pPr>
        <w:pStyle w:val="ListParagraph"/>
        <w:numPr>
          <w:ilvl w:val="0"/>
          <w:numId w:val="1"/>
        </w:numPr>
        <w:jc w:val="both"/>
      </w:pPr>
      <w:r>
        <w:t xml:space="preserve">Pašvaldības atbalsts tiek pārskaitīts uz </w:t>
      </w:r>
      <w:r w:rsidR="004334FD" w:rsidRPr="0089262B">
        <w:t xml:space="preserve">Pretendenta </w:t>
      </w:r>
      <w:r w:rsidRPr="0089262B">
        <w:t xml:space="preserve">kontu kredītiestādē desmit darba dienu laikā no dienas, kad </w:t>
      </w:r>
      <w:r w:rsidR="00F6758C" w:rsidRPr="00064738">
        <w:t>Pašvaldības atbalsta saņēmējs</w:t>
      </w:r>
      <w:r w:rsidRPr="00064738">
        <w:t xml:space="preserve"> </w:t>
      </w:r>
      <w:r w:rsidR="00FF72B0" w:rsidRPr="00064738">
        <w:t xml:space="preserve">noslēdz </w:t>
      </w:r>
      <w:r w:rsidR="006751CC" w:rsidRPr="0089262B">
        <w:fldChar w:fldCharType="begin"/>
      </w:r>
      <w:r w:rsidR="006751CC" w:rsidRPr="00064738">
        <w:instrText xml:space="preserve"> REF _Ref511053966 \r \h </w:instrText>
      </w:r>
      <w:r w:rsidR="00064738">
        <w:instrText xml:space="preserve"> \* MERGEFORMAT </w:instrText>
      </w:r>
      <w:r w:rsidR="006751CC" w:rsidRPr="0089262B">
        <w:fldChar w:fldCharType="separate"/>
      </w:r>
      <w:r w:rsidR="005F41A3">
        <w:t>13</w:t>
      </w:r>
      <w:r w:rsidR="006751CC" w:rsidRPr="0089262B">
        <w:fldChar w:fldCharType="end"/>
      </w:r>
      <w:r w:rsidR="00FF72B0" w:rsidRPr="0089262B">
        <w:t>.punktā minēto līgumu</w:t>
      </w:r>
      <w:r w:rsidRPr="0089262B">
        <w:t>.</w:t>
      </w:r>
    </w:p>
    <w:p w:rsidR="00FF72B0" w:rsidRDefault="00FF72B0" w:rsidP="00F93505">
      <w:pPr>
        <w:ind w:left="360"/>
        <w:jc w:val="both"/>
      </w:pPr>
    </w:p>
    <w:p w:rsidR="00A04A77" w:rsidRDefault="00A04A77" w:rsidP="00A04A77">
      <w:pPr>
        <w:jc w:val="both"/>
      </w:pPr>
    </w:p>
    <w:p w:rsidR="000A5EC8" w:rsidRDefault="00A04A77" w:rsidP="00A04A77">
      <w:pPr>
        <w:jc w:val="both"/>
      </w:pPr>
      <w:r>
        <w:t xml:space="preserve">Domes priekšsēdētājs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E.Grāvītis</w:t>
      </w:r>
    </w:p>
    <w:p w:rsidR="000A5EC8" w:rsidRDefault="000A5EC8">
      <w:r>
        <w:br w:type="page"/>
      </w:r>
    </w:p>
    <w:p w:rsidR="000A5EC8" w:rsidRPr="005C777C" w:rsidRDefault="000A5EC8" w:rsidP="000A5EC8">
      <w:pPr>
        <w:jc w:val="center"/>
        <w:rPr>
          <w:b/>
        </w:rPr>
      </w:pPr>
      <w:r w:rsidRPr="005C777C">
        <w:rPr>
          <w:b/>
        </w:rPr>
        <w:lastRenderedPageBreak/>
        <w:t>28.02.2017. saistošo noteikumu Nr. __/2018</w:t>
      </w:r>
    </w:p>
    <w:p w:rsidR="000A5EC8" w:rsidRPr="00A12D4F" w:rsidRDefault="000A5EC8" w:rsidP="000A5EC8">
      <w:pPr>
        <w:jc w:val="center"/>
        <w:rPr>
          <w:rFonts w:eastAsia="Calibri" w:cs="Times New Roman"/>
          <w:b/>
          <w:szCs w:val="24"/>
        </w:rPr>
      </w:pPr>
      <w:r w:rsidRPr="005C777C">
        <w:rPr>
          <w:b/>
        </w:rPr>
        <w:t>“</w:t>
      </w:r>
      <w:r w:rsidR="00691034">
        <w:rPr>
          <w:b/>
        </w:rPr>
        <w:t>Saistošie noteikumi p</w:t>
      </w:r>
      <w:r w:rsidR="00691034" w:rsidRPr="008D48D1">
        <w:rPr>
          <w:b/>
        </w:rPr>
        <w:t xml:space="preserve">ar </w:t>
      </w:r>
      <w:r w:rsidR="00691034">
        <w:rPr>
          <w:b/>
        </w:rPr>
        <w:t xml:space="preserve">kārtību, kādā Saulkrastu novada pašvaldība sniedz atbalstu </w:t>
      </w:r>
      <w:r w:rsidR="00691034" w:rsidRPr="008D48D1">
        <w:rPr>
          <w:b/>
        </w:rPr>
        <w:t>energoefektivitātes pasākumu veikšanai daudzdzīvokļu dzīvojamās mājās</w:t>
      </w:r>
      <w:r w:rsidRPr="00A12D4F">
        <w:rPr>
          <w:rFonts w:eastAsia="Calibri" w:cs="Times New Roman"/>
          <w:b/>
          <w:szCs w:val="24"/>
        </w:rPr>
        <w:t>”</w:t>
      </w:r>
    </w:p>
    <w:p w:rsidR="000A5EC8" w:rsidRPr="00A12D4F" w:rsidRDefault="000A5EC8" w:rsidP="000A5EC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12D4F">
        <w:rPr>
          <w:rFonts w:eastAsia="Times New Roman" w:cs="Times New Roman"/>
          <w:b/>
          <w:szCs w:val="24"/>
          <w:lang w:eastAsia="ru-RU"/>
        </w:rPr>
        <w:t>PASKAIDROJUMA RAKSTS</w:t>
      </w:r>
    </w:p>
    <w:p w:rsidR="000A5EC8" w:rsidRPr="00A12D4F" w:rsidRDefault="000A5EC8" w:rsidP="000A5EC8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0"/>
        <w:gridCol w:w="6088"/>
      </w:tblGrid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A12D4F">
                <w:rPr>
                  <w:rFonts w:eastAsia="Times New Roman" w:cs="Times New Roman"/>
                  <w:b/>
                  <w:szCs w:val="24"/>
                  <w:lang w:eastAsia="ru-RU"/>
                </w:rPr>
                <w:t>Paskaidrojuma</w:t>
              </w:r>
            </w:smartTag>
            <w:r w:rsidRPr="00A12D4F">
              <w:rPr>
                <w:rFonts w:eastAsia="Times New Roman" w:cs="Times New Roman"/>
                <w:b/>
                <w:szCs w:val="24"/>
                <w:lang w:eastAsia="ru-RU"/>
              </w:rPr>
              <w:t xml:space="preserve"> raksta sadaļas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EC8" w:rsidRPr="00A12D4F" w:rsidRDefault="000A5EC8" w:rsidP="00AB5B2F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b/>
                <w:szCs w:val="24"/>
                <w:lang w:eastAsia="ru-RU"/>
              </w:rPr>
              <w:t>Norādāmā informācija</w:t>
            </w: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1. Projekta nepieciešamības pamatojums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EC8" w:rsidRDefault="000A5EC8" w:rsidP="00AB5B2F">
            <w:pPr>
              <w:jc w:val="both"/>
            </w:pPr>
            <w:r>
              <w:t>Likuma “Par palīdzību dzīvokļa jautājumu risināšanā” (turpmāk – likums) 27.</w:t>
            </w:r>
            <w:r w:rsidRPr="00C8771B">
              <w:rPr>
                <w:vertAlign w:val="superscript"/>
              </w:rPr>
              <w:t>2</w:t>
            </w:r>
            <w:r>
              <w:t xml:space="preserve"> panta otrās daļas 4. punkts nosaka, ka pašvaldība var sniegt palīdzību dzīvojamās mājas īpašniekam (īpašniekiem) vai dzīvokļu īpašniekiem, piešķirot finansējumu energoefektivitātes pasākumu veikšanai dzīvojamā mājā. Likuma 27.</w:t>
            </w:r>
            <w:r w:rsidRPr="00C8771B">
              <w:rPr>
                <w:vertAlign w:val="superscript"/>
              </w:rPr>
              <w:t>2</w:t>
            </w:r>
            <w:r>
              <w:t xml:space="preserve"> panta piektā daļa nosaka, ka kārtību, kādā tiek sniegta šā panta otrajā daļā minētā palīdzība, un palīdzības apmēru nosaka pašvaldība savos saistošajos noteikumos. </w:t>
            </w:r>
          </w:p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2. Īss projekta satura izklāsts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Default="000A5EC8" w:rsidP="00AB5B2F">
            <w:pPr>
              <w:jc w:val="both"/>
            </w:pPr>
            <w:r>
              <w:t>Saistošie noteikumi nosaka kārtību, kādā Saulkrastu novada pašvaldība atbalsta Saulkrastu novada daudzdzīvokļu dzīvojamo māju energoefektivitātes pasākumus, līdzfinansējuma apmērus un piešķiršanas nosacījumus.</w:t>
            </w:r>
          </w:p>
          <w:p w:rsidR="000A5EC8" w:rsidRPr="00A12D4F" w:rsidRDefault="000A5EC8" w:rsidP="00AB5B2F">
            <w:pPr>
              <w:ind w:firstLine="667"/>
              <w:jc w:val="both"/>
              <w:rPr>
                <w:rFonts w:eastAsia="Calibri" w:cs="Times New Roman"/>
              </w:rPr>
            </w:pP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Default="000A5EC8" w:rsidP="00AB5B2F">
            <w:r>
              <w:t>Pašvaldības atbalsta kopējais apmērs ir atkarīgs no iedzīvotāju aktivitātes. 2018.gada budžetā šim mērķim paredzēti līdzekļi EUR 15000,00 apmērā.</w:t>
            </w:r>
          </w:p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4. Informācija par plānoto projekta ietekmi uz sociāli ekonomisko stāvokli (uzņēmējdarbības vidi) pašvaldības teritorijā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Projektam nav tiešas ietekmes uz sociāli ekonomisko stāvokli.</w:t>
            </w: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5. Informācija par administratīvajām procedūrām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Saulkrastu novada domes lēmumus var pārsūdzēt tiesā Administratīvā procesa likumā noteiktajā kārtībā. </w:t>
            </w:r>
          </w:p>
        </w:tc>
      </w:tr>
      <w:tr w:rsidR="000A5EC8" w:rsidRPr="00A12D4F" w:rsidTr="00AB5B2F"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12D4F">
              <w:rPr>
                <w:rFonts w:eastAsia="Times New Roman" w:cs="Times New Roman"/>
                <w:szCs w:val="24"/>
                <w:lang w:eastAsia="ru-RU"/>
              </w:rPr>
              <w:t>6. Informācija par konsultācijām ar privātpersonām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EC8" w:rsidRPr="00A12D4F" w:rsidRDefault="000A5EC8" w:rsidP="00AB5B2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Saistošo noteikumu projekts un tam pievienotais paskaidrojuma raksts likuma “Par pašvaldībām” 43.</w:t>
            </w:r>
            <w:r w:rsidRPr="003C2206">
              <w:rPr>
                <w:vertAlign w:val="superscript"/>
              </w:rPr>
              <w:t>1</w:t>
            </w:r>
            <w:r>
              <w:t xml:space="preserve"> panta ceturtajā daļā noteiktā kārtībā publicēts pašvaldības mājas lapā internetā: </w:t>
            </w:r>
            <w:hyperlink r:id="rId8" w:history="1">
              <w:r w:rsidRPr="00661487">
                <w:rPr>
                  <w:rStyle w:val="Hyperlink"/>
                </w:rPr>
                <w:t>http://saulkrasti.lv/pasvaldiba/dokumenti/saistoso-noteikumu-projekti/</w:t>
              </w:r>
            </w:hyperlink>
            <w:r>
              <w:t>.   Papildus sadaļā “Jaunumi” tiek publicēts aicinājums izteikt viedokli  par saistošajiem noteikumiem.</w:t>
            </w:r>
          </w:p>
        </w:tc>
      </w:tr>
    </w:tbl>
    <w:p w:rsidR="000A5EC8" w:rsidRPr="00A12D4F" w:rsidRDefault="000A5EC8" w:rsidP="000A5EC8">
      <w:pPr>
        <w:rPr>
          <w:rFonts w:eastAsia="Times New Roman" w:cs="Times New Roman"/>
          <w:szCs w:val="24"/>
          <w:lang w:eastAsia="ru-RU"/>
        </w:rPr>
      </w:pPr>
    </w:p>
    <w:p w:rsidR="000A5EC8" w:rsidRPr="004E0C46" w:rsidRDefault="000A5EC8" w:rsidP="000A5EC8">
      <w:r w:rsidRPr="00A12D4F">
        <w:rPr>
          <w:rFonts w:eastAsia="Times New Roman" w:cs="Times New Roman"/>
          <w:szCs w:val="24"/>
          <w:lang w:eastAsia="ru-RU"/>
        </w:rPr>
        <w:t xml:space="preserve">Domes priekšsēdētājs </w:t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</w:r>
      <w:r w:rsidRPr="00A12D4F">
        <w:rPr>
          <w:rFonts w:eastAsia="Times New Roman" w:cs="Times New Roman"/>
          <w:szCs w:val="24"/>
          <w:lang w:eastAsia="ru-RU"/>
        </w:rPr>
        <w:tab/>
        <w:t>E.Grāvītis</w:t>
      </w:r>
    </w:p>
    <w:p w:rsidR="000A5EC8" w:rsidRDefault="000A5EC8" w:rsidP="000A5EC8"/>
    <w:p w:rsidR="00A04A77" w:rsidRDefault="00A04A77" w:rsidP="00A04A77">
      <w:pPr>
        <w:jc w:val="both"/>
      </w:pPr>
    </w:p>
    <w:sectPr w:rsidR="00A04A77" w:rsidSect="00F8564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09D"/>
    <w:multiLevelType w:val="multilevel"/>
    <w:tmpl w:val="93F0C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1736FF"/>
    <w:multiLevelType w:val="multilevel"/>
    <w:tmpl w:val="93F0C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7582A"/>
    <w:multiLevelType w:val="multilevel"/>
    <w:tmpl w:val="93F0C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27E3593"/>
    <w:multiLevelType w:val="hybridMultilevel"/>
    <w:tmpl w:val="FA9001FA"/>
    <w:lvl w:ilvl="0" w:tplc="D83E73D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37"/>
    <w:rsid w:val="00005E4B"/>
    <w:rsid w:val="00064738"/>
    <w:rsid w:val="000A5EC8"/>
    <w:rsid w:val="000A6644"/>
    <w:rsid w:val="000D250A"/>
    <w:rsid w:val="000D6345"/>
    <w:rsid w:val="000D642D"/>
    <w:rsid w:val="000E45BE"/>
    <w:rsid w:val="0011210E"/>
    <w:rsid w:val="00125195"/>
    <w:rsid w:val="00154525"/>
    <w:rsid w:val="001576D1"/>
    <w:rsid w:val="00166AEF"/>
    <w:rsid w:val="00192067"/>
    <w:rsid w:val="00243091"/>
    <w:rsid w:val="0026444F"/>
    <w:rsid w:val="002949CC"/>
    <w:rsid w:val="002A1EC4"/>
    <w:rsid w:val="002E47B0"/>
    <w:rsid w:val="003640F4"/>
    <w:rsid w:val="0037386D"/>
    <w:rsid w:val="003B6DC7"/>
    <w:rsid w:val="004048A7"/>
    <w:rsid w:val="004334FD"/>
    <w:rsid w:val="004378BF"/>
    <w:rsid w:val="00477C15"/>
    <w:rsid w:val="00491937"/>
    <w:rsid w:val="004A5DAD"/>
    <w:rsid w:val="004D2667"/>
    <w:rsid w:val="005C3CBA"/>
    <w:rsid w:val="005C4CD1"/>
    <w:rsid w:val="005F41A3"/>
    <w:rsid w:val="00645231"/>
    <w:rsid w:val="006536DC"/>
    <w:rsid w:val="006751CC"/>
    <w:rsid w:val="00680CFE"/>
    <w:rsid w:val="00691034"/>
    <w:rsid w:val="007215C7"/>
    <w:rsid w:val="007406B7"/>
    <w:rsid w:val="007538AA"/>
    <w:rsid w:val="00764731"/>
    <w:rsid w:val="007A39AC"/>
    <w:rsid w:val="007C63BA"/>
    <w:rsid w:val="007F3B90"/>
    <w:rsid w:val="0081615F"/>
    <w:rsid w:val="00817461"/>
    <w:rsid w:val="00823FDF"/>
    <w:rsid w:val="00852663"/>
    <w:rsid w:val="0086554D"/>
    <w:rsid w:val="0089262B"/>
    <w:rsid w:val="008D48D1"/>
    <w:rsid w:val="008D4E9B"/>
    <w:rsid w:val="00971391"/>
    <w:rsid w:val="009C3CB7"/>
    <w:rsid w:val="00A04A77"/>
    <w:rsid w:val="00A61D37"/>
    <w:rsid w:val="00A64139"/>
    <w:rsid w:val="00AC06D4"/>
    <w:rsid w:val="00AD326B"/>
    <w:rsid w:val="00B4730B"/>
    <w:rsid w:val="00B473F8"/>
    <w:rsid w:val="00B840A4"/>
    <w:rsid w:val="00BB2612"/>
    <w:rsid w:val="00BB29F6"/>
    <w:rsid w:val="00BB37B3"/>
    <w:rsid w:val="00BE4930"/>
    <w:rsid w:val="00BF1CE0"/>
    <w:rsid w:val="00BF4043"/>
    <w:rsid w:val="00C618B9"/>
    <w:rsid w:val="00C70995"/>
    <w:rsid w:val="00CF1DFF"/>
    <w:rsid w:val="00D435FF"/>
    <w:rsid w:val="00D66EE4"/>
    <w:rsid w:val="00DA507B"/>
    <w:rsid w:val="00DB06E8"/>
    <w:rsid w:val="00DC44C8"/>
    <w:rsid w:val="00E01EDE"/>
    <w:rsid w:val="00E03FB8"/>
    <w:rsid w:val="00E12A10"/>
    <w:rsid w:val="00E23F4A"/>
    <w:rsid w:val="00E32655"/>
    <w:rsid w:val="00E40FE2"/>
    <w:rsid w:val="00E77259"/>
    <w:rsid w:val="00EF7272"/>
    <w:rsid w:val="00F10745"/>
    <w:rsid w:val="00F323DE"/>
    <w:rsid w:val="00F6758C"/>
    <w:rsid w:val="00F8564D"/>
    <w:rsid w:val="00F93505"/>
    <w:rsid w:val="00FA458B"/>
    <w:rsid w:val="00FB29BE"/>
    <w:rsid w:val="00FB66A5"/>
    <w:rsid w:val="00FC7A4E"/>
    <w:rsid w:val="00FD02D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phonemobil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1B7B-6F4D-4221-8A5A-1E87B22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F3B90"/>
    <w:pPr>
      <w:keepNext/>
      <w:shd w:val="clear" w:color="auto" w:fill="FFFFFF"/>
      <w:tabs>
        <w:tab w:val="left" w:pos="8201"/>
      </w:tabs>
      <w:jc w:val="center"/>
      <w:outlineLvl w:val="5"/>
    </w:pPr>
    <w:rPr>
      <w:rFonts w:eastAsia="Times New Roman" w:cs="Times New Roman"/>
      <w:b/>
      <w:bCs/>
      <w:color w:val="000000"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3B90"/>
    <w:rPr>
      <w:rFonts w:eastAsia="Times New Roman" w:cs="Times New Roman"/>
      <w:b/>
      <w:bCs/>
      <w:color w:val="000000"/>
      <w:sz w:val="36"/>
      <w:shd w:val="clear" w:color="auto" w:fill="FFFFFF"/>
      <w:lang w:val="x-none"/>
    </w:rPr>
  </w:style>
  <w:style w:type="character" w:styleId="Hyperlink">
    <w:name w:val="Hyperlink"/>
    <w:rsid w:val="007F3B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lkrasti.lv/pasvaldiba/dokumenti/saistoso-noteikumu-projekti/" TargetMode="External"/><Relationship Id="rId3" Type="http://schemas.openxmlformats.org/officeDocument/2006/relationships/styles" Target="styles.xml"/><Relationship Id="rId7" Type="http://schemas.openxmlformats.org/officeDocument/2006/relationships/hyperlink" Target="mailto:dome@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A4B9-A7BD-405A-9544-BB4BA71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cp:lastPrinted>2018-04-10T07:20:00Z</cp:lastPrinted>
  <dcterms:created xsi:type="dcterms:W3CDTF">2018-05-02T08:24:00Z</dcterms:created>
  <dcterms:modified xsi:type="dcterms:W3CDTF">2018-05-02T08:25:00Z</dcterms:modified>
</cp:coreProperties>
</file>