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F9" w:rsidRDefault="007F3AF9" w:rsidP="00B778B6">
      <w:pPr>
        <w:jc w:val="center"/>
        <w:rPr>
          <w:b/>
        </w:rPr>
      </w:pPr>
    </w:p>
    <w:p w:rsidR="00B847F6" w:rsidRPr="008A39A1" w:rsidRDefault="00163FA0" w:rsidP="00B778B6">
      <w:pPr>
        <w:jc w:val="center"/>
        <w:rPr>
          <w:b/>
        </w:rPr>
      </w:pPr>
      <w:r w:rsidRPr="008A39A1">
        <w:rPr>
          <w:b/>
        </w:rPr>
        <w:t xml:space="preserve">ZIŅOJUMS </w:t>
      </w:r>
    </w:p>
    <w:p w:rsidR="00B778B6" w:rsidRPr="008A39A1" w:rsidRDefault="00163FA0" w:rsidP="00B778B6">
      <w:pPr>
        <w:jc w:val="center"/>
        <w:rPr>
          <w:b/>
        </w:rPr>
      </w:pPr>
      <w:r w:rsidRPr="008A39A1">
        <w:rPr>
          <w:b/>
        </w:rPr>
        <w:t>PAR SARUNU PROCEDŪRU</w:t>
      </w:r>
    </w:p>
    <w:p w:rsidR="008A39A1" w:rsidRDefault="008A39A1" w:rsidP="00B778B6">
      <w:pPr>
        <w:jc w:val="center"/>
        <w:rPr>
          <w:b/>
          <w:sz w:val="22"/>
          <w:szCs w:val="22"/>
        </w:rPr>
      </w:pPr>
    </w:p>
    <w:p w:rsidR="00B778B6" w:rsidRPr="008A39A1" w:rsidRDefault="00B778B6" w:rsidP="00B778B6">
      <w:pPr>
        <w:jc w:val="center"/>
        <w:rPr>
          <w:b/>
          <w:color w:val="000000"/>
        </w:rPr>
      </w:pPr>
      <w:r w:rsidRPr="008A39A1">
        <w:t xml:space="preserve"> </w:t>
      </w:r>
      <w:r w:rsidRPr="008A39A1">
        <w:rPr>
          <w:b/>
          <w:color w:val="000000"/>
        </w:rPr>
        <w:t xml:space="preserve"> „</w:t>
      </w:r>
      <w:r w:rsidR="00163FA0" w:rsidRPr="008A39A1">
        <w:rPr>
          <w:b/>
        </w:rPr>
        <w:t>Saulkrastu novada pašvaldības darbinieku veselības apdrošināšana 2019./2020.gadā</w:t>
      </w:r>
      <w:r w:rsidRPr="008A39A1">
        <w:rPr>
          <w:b/>
        </w:rPr>
        <w:t>”</w:t>
      </w:r>
      <w:r w:rsidRPr="008A39A1">
        <w:rPr>
          <w:b/>
          <w:color w:val="000000"/>
        </w:rPr>
        <w:t xml:space="preserve"> </w:t>
      </w:r>
    </w:p>
    <w:p w:rsidR="008A39A1" w:rsidRPr="008A39A1" w:rsidRDefault="008A39A1" w:rsidP="00B778B6">
      <w:pPr>
        <w:jc w:val="center"/>
        <w:rPr>
          <w:b/>
          <w:color w:val="000000"/>
        </w:rPr>
      </w:pPr>
    </w:p>
    <w:p w:rsidR="00B778B6" w:rsidRPr="008A39A1" w:rsidRDefault="00163FA0" w:rsidP="00B778B6">
      <w:pPr>
        <w:jc w:val="center"/>
        <w:rPr>
          <w:b/>
        </w:rPr>
      </w:pPr>
      <w:r w:rsidRPr="008A39A1">
        <w:rPr>
          <w:b/>
        </w:rPr>
        <w:t>identifikācijas Nr. SND 2019/11</w:t>
      </w:r>
    </w:p>
    <w:p w:rsidR="008A39A1" w:rsidRPr="008A39A1" w:rsidRDefault="008A39A1" w:rsidP="00B778B6">
      <w:pPr>
        <w:jc w:val="center"/>
        <w:rPr>
          <w:b/>
          <w:sz w:val="20"/>
          <w:szCs w:val="20"/>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70"/>
      </w:tblGrid>
      <w:tr w:rsidR="00383D08" w:rsidRPr="008A39A1" w:rsidTr="005F0C9F">
        <w:trPr>
          <w:trHeight w:val="505"/>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8A39A1" w:rsidRDefault="00383D08" w:rsidP="00B778B6">
            <w:pPr>
              <w:rPr>
                <w:b/>
                <w:sz w:val="20"/>
                <w:szCs w:val="20"/>
              </w:rPr>
            </w:pPr>
            <w:r w:rsidRPr="008A39A1">
              <w:rPr>
                <w:b/>
                <w:sz w:val="20"/>
                <w:szCs w:val="20"/>
              </w:rPr>
              <w:t>Pasūtītājs, kas organizē iepirkumu</w:t>
            </w:r>
          </w:p>
        </w:tc>
        <w:tc>
          <w:tcPr>
            <w:tcW w:w="6270" w:type="dxa"/>
            <w:tcBorders>
              <w:top w:val="single" w:sz="4" w:space="0" w:color="auto"/>
              <w:left w:val="single" w:sz="4" w:space="0" w:color="auto"/>
              <w:bottom w:val="single" w:sz="4" w:space="0" w:color="auto"/>
              <w:right w:val="single" w:sz="4" w:space="0" w:color="auto"/>
            </w:tcBorders>
            <w:vAlign w:val="center"/>
          </w:tcPr>
          <w:p w:rsidR="00383D08" w:rsidRPr="008A39A1" w:rsidRDefault="00BC4B10" w:rsidP="00B778B6">
            <w:pPr>
              <w:pStyle w:val="Footer"/>
              <w:tabs>
                <w:tab w:val="left" w:pos="720"/>
              </w:tabs>
              <w:rPr>
                <w:rFonts w:ascii="Times New Roman" w:hAnsi="Times New Roman" w:cs="Times New Roman"/>
                <w:sz w:val="20"/>
                <w:szCs w:val="20"/>
              </w:rPr>
            </w:pPr>
            <w:r w:rsidRPr="008A39A1">
              <w:rPr>
                <w:rFonts w:ascii="Times New Roman" w:hAnsi="Times New Roman" w:cs="Times New Roman"/>
                <w:sz w:val="20"/>
                <w:szCs w:val="20"/>
              </w:rPr>
              <w:t xml:space="preserve">Saulkrastu novada </w:t>
            </w:r>
            <w:r w:rsidR="003E7FD0" w:rsidRPr="008A39A1">
              <w:rPr>
                <w:rFonts w:ascii="Times New Roman" w:hAnsi="Times New Roman" w:cs="Times New Roman"/>
                <w:sz w:val="20"/>
                <w:szCs w:val="20"/>
              </w:rPr>
              <w:t>dome</w:t>
            </w:r>
            <w:r w:rsidR="004E4CAA" w:rsidRPr="008A39A1">
              <w:rPr>
                <w:rFonts w:ascii="Times New Roman" w:hAnsi="Times New Roman" w:cs="Times New Roman"/>
                <w:sz w:val="20"/>
                <w:szCs w:val="20"/>
              </w:rPr>
              <w:t xml:space="preserve">, </w:t>
            </w:r>
            <w:r w:rsidR="003E7FD0" w:rsidRPr="008A39A1">
              <w:rPr>
                <w:rFonts w:ascii="Times New Roman" w:hAnsi="Times New Roman" w:cs="Times New Roman"/>
                <w:sz w:val="20"/>
                <w:szCs w:val="20"/>
              </w:rPr>
              <w:t xml:space="preserve">reģistrācijas numurs </w:t>
            </w:r>
            <w:r w:rsidR="00383D08" w:rsidRPr="008A39A1">
              <w:rPr>
                <w:rFonts w:ascii="Times New Roman" w:hAnsi="Times New Roman" w:cs="Times New Roman"/>
                <w:sz w:val="20"/>
                <w:szCs w:val="20"/>
              </w:rPr>
              <w:t>90000068680</w:t>
            </w:r>
          </w:p>
          <w:p w:rsidR="00383D08" w:rsidRPr="008A39A1" w:rsidRDefault="00383D08" w:rsidP="00B778B6">
            <w:pPr>
              <w:rPr>
                <w:sz w:val="20"/>
                <w:szCs w:val="20"/>
              </w:rPr>
            </w:pPr>
            <w:r w:rsidRPr="008A39A1">
              <w:rPr>
                <w:sz w:val="20"/>
                <w:szCs w:val="20"/>
              </w:rPr>
              <w:t>Raiņa iela 8, Saulkrasti, Saulkrastu novads, LV-2160</w:t>
            </w:r>
          </w:p>
          <w:p w:rsidR="004E4CAA" w:rsidRPr="008A39A1" w:rsidRDefault="004E4CAA" w:rsidP="00163FA0">
            <w:pPr>
              <w:rPr>
                <w:sz w:val="20"/>
                <w:szCs w:val="20"/>
              </w:rPr>
            </w:pPr>
            <w:r w:rsidRPr="008A39A1">
              <w:rPr>
                <w:sz w:val="20"/>
                <w:szCs w:val="20"/>
              </w:rPr>
              <w:t xml:space="preserve">tālr. 67951250, 67142513, e-pasts: </w:t>
            </w:r>
            <w:hyperlink r:id="rId9" w:history="1">
              <w:r w:rsidR="00163FA0" w:rsidRPr="008A39A1">
                <w:rPr>
                  <w:rStyle w:val="Hyperlink"/>
                  <w:sz w:val="20"/>
                  <w:szCs w:val="20"/>
                </w:rPr>
                <w:t>pasts@saulkrasti.lv</w:t>
              </w:r>
            </w:hyperlink>
            <w:r w:rsidR="00163FA0" w:rsidRPr="008A39A1">
              <w:rPr>
                <w:sz w:val="20"/>
                <w:szCs w:val="20"/>
              </w:rPr>
              <w:t xml:space="preserve"> </w:t>
            </w:r>
          </w:p>
        </w:tc>
      </w:tr>
      <w:tr w:rsidR="00313F1E" w:rsidRPr="008A39A1" w:rsidTr="005F0C9F">
        <w:trPr>
          <w:trHeight w:val="384"/>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FF61E6" w:rsidP="00B778B6">
            <w:pPr>
              <w:rPr>
                <w:b/>
                <w:sz w:val="20"/>
                <w:szCs w:val="20"/>
              </w:rPr>
            </w:pPr>
            <w:r w:rsidRPr="008A39A1">
              <w:rPr>
                <w:b/>
                <w:sz w:val="20"/>
                <w:szCs w:val="20"/>
                <w:shd w:val="clear" w:color="auto" w:fill="F2DBDB"/>
              </w:rPr>
              <w:t>Iepirkuma procedūras veids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607ED1" w:rsidP="00607ED1">
            <w:pPr>
              <w:spacing w:line="276" w:lineRule="auto"/>
              <w:jc w:val="both"/>
              <w:rPr>
                <w:sz w:val="20"/>
                <w:szCs w:val="20"/>
              </w:rPr>
            </w:pPr>
            <w:r w:rsidRPr="008A39A1">
              <w:rPr>
                <w:bCs/>
                <w:sz w:val="20"/>
                <w:szCs w:val="20"/>
                <w:lang w:eastAsia="ar-SA"/>
              </w:rPr>
              <w:t>Sarunu procedūra</w:t>
            </w:r>
            <w:r w:rsidR="005A5D4C" w:rsidRPr="008A39A1">
              <w:rPr>
                <w:bCs/>
                <w:sz w:val="20"/>
                <w:szCs w:val="20"/>
                <w:lang w:eastAsia="ar-SA"/>
              </w:rPr>
              <w:t xml:space="preserve"> atbilstoši </w:t>
            </w:r>
            <w:r w:rsidRPr="008A39A1">
              <w:rPr>
                <w:bCs/>
                <w:sz w:val="20"/>
                <w:szCs w:val="20"/>
                <w:lang w:eastAsia="ar-SA"/>
              </w:rPr>
              <w:t>Publisko iepirkumu likuma 8.panta septītās daļas 9.punktam</w:t>
            </w:r>
          </w:p>
        </w:tc>
      </w:tr>
      <w:tr w:rsidR="00313F1E" w:rsidRPr="008A39A1" w:rsidTr="005F0C9F">
        <w:trPr>
          <w:trHeight w:val="687"/>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313F1E" w:rsidP="00B778B6">
            <w:pPr>
              <w:rPr>
                <w:b/>
                <w:sz w:val="20"/>
                <w:szCs w:val="20"/>
              </w:rPr>
            </w:pPr>
            <w:r w:rsidRPr="008A39A1">
              <w:rPr>
                <w:b/>
                <w:sz w:val="20"/>
                <w:szCs w:val="20"/>
              </w:rPr>
              <w:t>Līguma priekšmets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163FA0" w:rsidP="00B778B6">
            <w:pPr>
              <w:jc w:val="both"/>
              <w:rPr>
                <w:sz w:val="20"/>
                <w:szCs w:val="20"/>
              </w:rPr>
            </w:pPr>
            <w:r w:rsidRPr="008A39A1">
              <w:rPr>
                <w:sz w:val="20"/>
                <w:szCs w:val="20"/>
              </w:rPr>
              <w:t>Saulkrastu novada pašvaldības darbinieku veselības apdrošināšana 2019./2020.gadā</w:t>
            </w:r>
          </w:p>
        </w:tc>
      </w:tr>
      <w:tr w:rsidR="00313F1E" w:rsidRPr="008A39A1" w:rsidTr="005F0C9F">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313F1E" w:rsidP="00B778B6">
            <w:pPr>
              <w:rPr>
                <w:b/>
                <w:sz w:val="20"/>
                <w:szCs w:val="20"/>
              </w:rPr>
            </w:pPr>
            <w:r w:rsidRPr="008A39A1">
              <w:rPr>
                <w:b/>
                <w:sz w:val="20"/>
                <w:szCs w:val="20"/>
              </w:rPr>
              <w:t>Informācija par iepirkuma priekšmetu</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313F1E" w:rsidP="00B778B6">
            <w:pPr>
              <w:spacing w:line="276" w:lineRule="auto"/>
              <w:jc w:val="both"/>
              <w:rPr>
                <w:b/>
                <w:sz w:val="20"/>
                <w:szCs w:val="20"/>
              </w:rPr>
            </w:pPr>
            <w:r w:rsidRPr="008A39A1">
              <w:rPr>
                <w:sz w:val="20"/>
                <w:szCs w:val="20"/>
              </w:rPr>
              <w:t xml:space="preserve">Iepirkuma priekšmets nav sadalīts daļās </w:t>
            </w:r>
          </w:p>
        </w:tc>
      </w:tr>
      <w:tr w:rsidR="00313F1E" w:rsidRPr="008A39A1" w:rsidTr="005F0C9F">
        <w:trPr>
          <w:trHeight w:val="280"/>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313F1E" w:rsidP="00B778B6">
            <w:pPr>
              <w:rPr>
                <w:b/>
                <w:sz w:val="20"/>
                <w:szCs w:val="20"/>
              </w:rPr>
            </w:pPr>
            <w:r w:rsidRPr="008A39A1">
              <w:rPr>
                <w:b/>
                <w:sz w:val="20"/>
                <w:szCs w:val="20"/>
              </w:rPr>
              <w:t>Iepirkuma identifikācijas numurs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163FA0" w:rsidP="00B778B6">
            <w:pPr>
              <w:ind w:left="34" w:right="1132"/>
              <w:rPr>
                <w:sz w:val="20"/>
                <w:szCs w:val="20"/>
              </w:rPr>
            </w:pPr>
            <w:r w:rsidRPr="008A39A1">
              <w:rPr>
                <w:sz w:val="20"/>
                <w:szCs w:val="20"/>
              </w:rPr>
              <w:t>SND 2019/11</w:t>
            </w:r>
          </w:p>
        </w:tc>
      </w:tr>
      <w:tr w:rsidR="00313F1E" w:rsidRPr="008A39A1" w:rsidTr="005F0C9F">
        <w:trPr>
          <w:trHeight w:val="563"/>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313F1E" w:rsidP="00B778B6">
            <w:pPr>
              <w:rPr>
                <w:b/>
                <w:sz w:val="20"/>
                <w:szCs w:val="20"/>
              </w:rPr>
            </w:pPr>
            <w:r w:rsidRPr="008A39A1">
              <w:rPr>
                <w:b/>
                <w:sz w:val="20"/>
                <w:szCs w:val="20"/>
              </w:rPr>
              <w:t>CPV kods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163FA0" w:rsidP="00B778B6">
            <w:pPr>
              <w:suppressAutoHyphens/>
              <w:rPr>
                <w:sz w:val="20"/>
                <w:szCs w:val="20"/>
              </w:rPr>
            </w:pPr>
            <w:r w:rsidRPr="008A39A1">
              <w:rPr>
                <w:sz w:val="20"/>
                <w:szCs w:val="20"/>
              </w:rPr>
              <w:t>66512200-4 (Veselības apdrošināšanas pakalpojumi)</w:t>
            </w:r>
          </w:p>
        </w:tc>
      </w:tr>
      <w:tr w:rsidR="00313F1E" w:rsidRPr="008A39A1" w:rsidTr="005F0C9F">
        <w:trPr>
          <w:trHeight w:val="391"/>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313F1E" w:rsidP="00B778B6">
            <w:pPr>
              <w:rPr>
                <w:b/>
                <w:sz w:val="20"/>
                <w:szCs w:val="20"/>
              </w:rPr>
            </w:pPr>
            <w:r w:rsidRPr="008A39A1">
              <w:rPr>
                <w:b/>
                <w:sz w:val="20"/>
                <w:szCs w:val="20"/>
              </w:rPr>
              <w:t>Līguma</w:t>
            </w:r>
            <w:r w:rsidRPr="008A39A1">
              <w:rPr>
                <w:b/>
                <w:color w:val="000000"/>
                <w:sz w:val="20"/>
                <w:szCs w:val="20"/>
              </w:rPr>
              <w:t xml:space="preserve"> izpildes termiņš</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FF61E6" w:rsidP="00B778B6">
            <w:pPr>
              <w:spacing w:line="276" w:lineRule="auto"/>
              <w:jc w:val="both"/>
              <w:rPr>
                <w:bCs/>
                <w:sz w:val="20"/>
                <w:szCs w:val="20"/>
              </w:rPr>
            </w:pPr>
            <w:r w:rsidRPr="008A39A1">
              <w:rPr>
                <w:sz w:val="20"/>
                <w:szCs w:val="20"/>
              </w:rPr>
              <w:t>viens gads no līguma noslēgšanas brīža</w:t>
            </w:r>
            <w:r w:rsidR="00290017" w:rsidRPr="008A39A1">
              <w:rPr>
                <w:sz w:val="20"/>
                <w:szCs w:val="20"/>
              </w:rPr>
              <w:t xml:space="preserve"> 27</w:t>
            </w:r>
            <w:r w:rsidR="005F0C9F" w:rsidRPr="008A39A1">
              <w:rPr>
                <w:sz w:val="20"/>
                <w:szCs w:val="20"/>
              </w:rPr>
              <w:t>.05.2019. - 26.05.2020.</w:t>
            </w:r>
          </w:p>
        </w:tc>
      </w:tr>
      <w:tr w:rsidR="00313F1E" w:rsidRPr="008A39A1" w:rsidTr="005F0C9F">
        <w:trPr>
          <w:trHeight w:val="575"/>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313F1E" w:rsidP="00B778B6">
            <w:pPr>
              <w:rPr>
                <w:b/>
                <w:sz w:val="20"/>
                <w:szCs w:val="20"/>
              </w:rPr>
            </w:pPr>
            <w:r w:rsidRPr="008A39A1">
              <w:rPr>
                <w:b/>
                <w:sz w:val="20"/>
                <w:szCs w:val="20"/>
              </w:rPr>
              <w:t>Iepirkumu komisijas izveidošanas pamatojums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B778B6" w:rsidP="00B778B6">
            <w:pPr>
              <w:jc w:val="both"/>
              <w:rPr>
                <w:sz w:val="20"/>
                <w:szCs w:val="20"/>
              </w:rPr>
            </w:pPr>
            <w:r w:rsidRPr="008A39A1">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8A39A1" w:rsidTr="005F0C9F">
        <w:trPr>
          <w:trHeight w:val="575"/>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313F1E" w:rsidP="00B778B6">
            <w:pPr>
              <w:rPr>
                <w:b/>
                <w:sz w:val="20"/>
                <w:szCs w:val="20"/>
              </w:rPr>
            </w:pPr>
            <w:r w:rsidRPr="008A39A1">
              <w:rPr>
                <w:b/>
                <w:sz w:val="20"/>
                <w:szCs w:val="20"/>
              </w:rPr>
              <w:t>Iepirkumu komisijas sastāvs</w:t>
            </w:r>
          </w:p>
        </w:tc>
        <w:tc>
          <w:tcPr>
            <w:tcW w:w="6270" w:type="dxa"/>
            <w:tcBorders>
              <w:top w:val="single" w:sz="4" w:space="0" w:color="auto"/>
              <w:left w:val="single" w:sz="4" w:space="0" w:color="auto"/>
              <w:bottom w:val="single" w:sz="4" w:space="0" w:color="auto"/>
              <w:right w:val="single" w:sz="4" w:space="0" w:color="auto"/>
            </w:tcBorders>
            <w:vAlign w:val="center"/>
          </w:tcPr>
          <w:p w:rsidR="005F0C9F" w:rsidRPr="008A39A1" w:rsidRDefault="005F0C9F" w:rsidP="005F0C9F">
            <w:pPr>
              <w:jc w:val="both"/>
              <w:rPr>
                <w:sz w:val="20"/>
                <w:szCs w:val="20"/>
              </w:rPr>
            </w:pPr>
            <w:r w:rsidRPr="008A39A1">
              <w:rPr>
                <w:sz w:val="20"/>
                <w:szCs w:val="20"/>
              </w:rPr>
              <w:t>Priekšsēdētājs:</w:t>
            </w:r>
          </w:p>
          <w:p w:rsidR="005F0C9F" w:rsidRPr="008A39A1" w:rsidRDefault="005F0C9F" w:rsidP="005F0C9F">
            <w:pPr>
              <w:jc w:val="both"/>
              <w:rPr>
                <w:sz w:val="20"/>
                <w:szCs w:val="20"/>
              </w:rPr>
            </w:pPr>
            <w:r w:rsidRPr="008A39A1">
              <w:rPr>
                <w:sz w:val="20"/>
                <w:szCs w:val="20"/>
              </w:rPr>
              <w:t>Alens Horsts, Saulkrastu novada domes deputāts</w:t>
            </w:r>
          </w:p>
          <w:p w:rsidR="005F0C9F" w:rsidRPr="008A39A1" w:rsidRDefault="005F0C9F" w:rsidP="005F0C9F">
            <w:pPr>
              <w:jc w:val="both"/>
              <w:rPr>
                <w:sz w:val="20"/>
                <w:szCs w:val="20"/>
              </w:rPr>
            </w:pPr>
            <w:r w:rsidRPr="008A39A1">
              <w:rPr>
                <w:sz w:val="20"/>
                <w:szCs w:val="20"/>
              </w:rPr>
              <w:t>Priekšsēdētāja vietnieks:</w:t>
            </w:r>
          </w:p>
          <w:p w:rsidR="005F0C9F" w:rsidRPr="008A39A1" w:rsidRDefault="005F0C9F" w:rsidP="005F0C9F">
            <w:pPr>
              <w:jc w:val="both"/>
              <w:rPr>
                <w:sz w:val="20"/>
                <w:szCs w:val="20"/>
              </w:rPr>
            </w:pPr>
            <w:r w:rsidRPr="008A39A1">
              <w:rPr>
                <w:sz w:val="20"/>
                <w:szCs w:val="20"/>
              </w:rPr>
              <w:t>Aleksandrs Inārs Zaharāns, Saulkrastu novada pašvaldības izpilddirektors</w:t>
            </w:r>
          </w:p>
          <w:p w:rsidR="005F0C9F" w:rsidRPr="008A39A1" w:rsidRDefault="005F0C9F" w:rsidP="005F0C9F">
            <w:pPr>
              <w:jc w:val="both"/>
              <w:rPr>
                <w:sz w:val="20"/>
                <w:szCs w:val="20"/>
              </w:rPr>
            </w:pPr>
            <w:r w:rsidRPr="008A39A1">
              <w:rPr>
                <w:sz w:val="20"/>
                <w:szCs w:val="20"/>
              </w:rPr>
              <w:t>Locekļi:</w:t>
            </w:r>
            <w:r w:rsidRPr="008A39A1">
              <w:rPr>
                <w:sz w:val="20"/>
                <w:szCs w:val="20"/>
              </w:rPr>
              <w:tab/>
            </w:r>
          </w:p>
          <w:p w:rsidR="005F0C9F" w:rsidRPr="008A39A1" w:rsidRDefault="005F0C9F" w:rsidP="005F0C9F">
            <w:pPr>
              <w:jc w:val="both"/>
              <w:rPr>
                <w:sz w:val="20"/>
                <w:szCs w:val="20"/>
              </w:rPr>
            </w:pPr>
            <w:r w:rsidRPr="008A39A1">
              <w:rPr>
                <w:sz w:val="20"/>
                <w:szCs w:val="20"/>
              </w:rPr>
              <w:t>Gatis Vīgants, Saulkrastu novada domes Finanšu un grāmatvedības nodaļas finanšu daļas vadītājs</w:t>
            </w:r>
          </w:p>
          <w:p w:rsidR="005F0C9F" w:rsidRPr="008A39A1" w:rsidRDefault="005F0C9F" w:rsidP="005F0C9F">
            <w:pPr>
              <w:jc w:val="both"/>
              <w:rPr>
                <w:sz w:val="20"/>
                <w:szCs w:val="20"/>
              </w:rPr>
            </w:pPr>
            <w:r w:rsidRPr="008A39A1">
              <w:rPr>
                <w:sz w:val="20"/>
                <w:szCs w:val="20"/>
              </w:rPr>
              <w:t>Normunds Līcis, Saulkrastu novada domes priekšsēdētājs</w:t>
            </w:r>
          </w:p>
          <w:p w:rsidR="00536DD2" w:rsidRPr="008A39A1" w:rsidRDefault="005F0C9F" w:rsidP="005F0C9F">
            <w:pPr>
              <w:jc w:val="both"/>
              <w:rPr>
                <w:sz w:val="20"/>
                <w:szCs w:val="20"/>
              </w:rPr>
            </w:pPr>
            <w:r w:rsidRPr="008A39A1">
              <w:rPr>
                <w:sz w:val="20"/>
                <w:szCs w:val="20"/>
              </w:rPr>
              <w:t>Bruno Veide, Saulkrastu novada domes priekšsēdētāja vietnieks</w:t>
            </w:r>
          </w:p>
        </w:tc>
      </w:tr>
      <w:tr w:rsidR="00313F1E" w:rsidRPr="008A39A1" w:rsidTr="005F0C9F">
        <w:trPr>
          <w:trHeight w:val="575"/>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5F0C9F" w:rsidP="00B778B6">
            <w:pPr>
              <w:rPr>
                <w:b/>
                <w:sz w:val="20"/>
                <w:szCs w:val="20"/>
              </w:rPr>
            </w:pPr>
            <w:r w:rsidRPr="008A39A1">
              <w:rPr>
                <w:b/>
                <w:sz w:val="20"/>
                <w:szCs w:val="20"/>
              </w:rPr>
              <w:t>Sarunu</w:t>
            </w:r>
            <w:r w:rsidR="00313F1E" w:rsidRPr="008A39A1">
              <w:rPr>
                <w:b/>
                <w:sz w:val="20"/>
                <w:szCs w:val="20"/>
              </w:rPr>
              <w:t xml:space="preserve"> procedūras dokumentu sagatavotāji </w:t>
            </w:r>
          </w:p>
        </w:tc>
        <w:tc>
          <w:tcPr>
            <w:tcW w:w="6270" w:type="dxa"/>
            <w:tcBorders>
              <w:top w:val="single" w:sz="4" w:space="0" w:color="auto"/>
              <w:left w:val="single" w:sz="4" w:space="0" w:color="auto"/>
              <w:bottom w:val="single" w:sz="4" w:space="0" w:color="auto"/>
              <w:right w:val="single" w:sz="4" w:space="0" w:color="auto"/>
            </w:tcBorders>
            <w:vAlign w:val="center"/>
          </w:tcPr>
          <w:p w:rsidR="00536DD2" w:rsidRPr="008A39A1" w:rsidRDefault="00B778B6" w:rsidP="00B778B6">
            <w:pPr>
              <w:jc w:val="both"/>
              <w:rPr>
                <w:sz w:val="20"/>
                <w:szCs w:val="20"/>
              </w:rPr>
            </w:pPr>
            <w:r w:rsidRPr="008A39A1">
              <w:rPr>
                <w:sz w:val="20"/>
                <w:szCs w:val="20"/>
              </w:rPr>
              <w:t>Juridiskās nodaļas juriste Kristīne Felkere</w:t>
            </w:r>
          </w:p>
        </w:tc>
      </w:tr>
      <w:tr w:rsidR="00313F1E" w:rsidRPr="008A39A1" w:rsidTr="005F0C9F">
        <w:trPr>
          <w:trHeight w:val="554"/>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13416B" w:rsidP="00B778B6">
            <w:pPr>
              <w:rPr>
                <w:b/>
                <w:sz w:val="20"/>
                <w:szCs w:val="20"/>
              </w:rPr>
            </w:pPr>
            <w:r w:rsidRPr="008A39A1">
              <w:rPr>
                <w:b/>
                <w:sz w:val="20"/>
                <w:szCs w:val="20"/>
              </w:rPr>
              <w:t>Sarunu procedūras izvēles pamatojums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1E2998" w:rsidP="001E2998">
            <w:pPr>
              <w:pStyle w:val="ListParagraph1"/>
              <w:widowControl w:val="0"/>
              <w:tabs>
                <w:tab w:val="left" w:pos="567"/>
              </w:tabs>
              <w:suppressAutoHyphens/>
              <w:ind w:left="0"/>
              <w:contextualSpacing w:val="0"/>
              <w:jc w:val="both"/>
              <w:rPr>
                <w:rFonts w:eastAsia="ArialMT"/>
                <w:iCs/>
                <w:sz w:val="20"/>
                <w:szCs w:val="20"/>
                <w:lang w:val="lv-LV"/>
              </w:rPr>
            </w:pPr>
            <w:r w:rsidRPr="008A39A1">
              <w:rPr>
                <w:rFonts w:eastAsia="ArialMT"/>
                <w:iCs/>
                <w:sz w:val="20"/>
                <w:szCs w:val="20"/>
                <w:lang w:val="lv-LV"/>
              </w:rPr>
              <w:t xml:space="preserve">2018.gada </w:t>
            </w:r>
            <w:r w:rsidR="00844336" w:rsidRPr="008A39A1">
              <w:rPr>
                <w:rFonts w:eastAsia="ArialMT"/>
                <w:iCs/>
                <w:sz w:val="20"/>
                <w:szCs w:val="20"/>
                <w:lang w:val="lv-LV"/>
              </w:rPr>
              <w:t>28.februārī</w:t>
            </w:r>
            <w:r w:rsidRPr="008A39A1">
              <w:rPr>
                <w:rFonts w:eastAsia="ArialMT"/>
                <w:iCs/>
                <w:sz w:val="20"/>
                <w:szCs w:val="20"/>
                <w:lang w:val="lv-LV"/>
              </w:rPr>
              <w:t xml:space="preserve"> Saulkrastu novada pašvaldība izsludināja atklātu konkursu „Saulkrastu novada pašvaldības darbinieku veselības apdrošināšana 2018./2019.gadā”</w:t>
            </w:r>
            <w:r w:rsidR="002D4405" w:rsidRPr="008A39A1">
              <w:rPr>
                <w:rFonts w:eastAsia="ArialMT"/>
                <w:iCs/>
                <w:sz w:val="20"/>
                <w:szCs w:val="20"/>
                <w:lang w:val="lv-LV"/>
              </w:rPr>
              <w:t xml:space="preserve"> (iepirkuma ID Nr. 2018/3). Atklāta konkursa rezultātā iepirkuma līgums tika noslēgts ar AAS „BTA Baltic Insurance Company” uz 1 (vienu) gadu, ar iespēju pagarināt līguma darbības termiņu uz vēl 1 (vienu) gadu, ievērojot Publisko iepirkumu likuma 8.panta septītās daļas 9.punktu.</w:t>
            </w:r>
          </w:p>
          <w:p w:rsidR="00844336" w:rsidRPr="008A39A1" w:rsidRDefault="00844336" w:rsidP="00844336">
            <w:pPr>
              <w:pStyle w:val="ListParagraph1"/>
              <w:widowControl w:val="0"/>
              <w:tabs>
                <w:tab w:val="left" w:pos="567"/>
              </w:tabs>
              <w:suppressAutoHyphens/>
              <w:ind w:left="0"/>
              <w:contextualSpacing w:val="0"/>
              <w:jc w:val="both"/>
              <w:rPr>
                <w:rFonts w:eastAsia="ArialMT"/>
                <w:iCs/>
                <w:sz w:val="20"/>
                <w:szCs w:val="20"/>
                <w:lang w:val="lv-LV"/>
              </w:rPr>
            </w:pPr>
            <w:r w:rsidRPr="008A39A1">
              <w:rPr>
                <w:rFonts w:eastAsia="ArialMT"/>
                <w:iCs/>
                <w:sz w:val="20"/>
                <w:szCs w:val="20"/>
                <w:lang w:val="lv-LV"/>
              </w:rPr>
              <w:t xml:space="preserve">Paziņojumā par līgumu, kas publicēts Iepirkumu uzraudzības biroja mājaslapā 2018.gada 28.februārī </w:t>
            </w:r>
            <w:hyperlink r:id="rId10" w:history="1">
              <w:r w:rsidRPr="008A39A1">
                <w:rPr>
                  <w:rStyle w:val="Hyperlink"/>
                  <w:rFonts w:eastAsia="ArialMT"/>
                  <w:iCs/>
                  <w:sz w:val="20"/>
                  <w:szCs w:val="20"/>
                  <w:lang w:val="lv-LV"/>
                </w:rPr>
                <w:t>https://pvs.iub.gov.lv/show/528002</w:t>
              </w:r>
            </w:hyperlink>
            <w:r w:rsidRPr="008A39A1">
              <w:rPr>
                <w:rFonts w:eastAsia="ArialMT"/>
                <w:iCs/>
                <w:sz w:val="20"/>
                <w:szCs w:val="20"/>
                <w:lang w:val="lv-LV"/>
              </w:rPr>
              <w:t xml:space="preserve"> ir paredzēta atkārtota līguma slēgšana vienu reizi uz vienu gadu.</w:t>
            </w:r>
          </w:p>
          <w:p w:rsidR="00844336" w:rsidRPr="008A39A1" w:rsidRDefault="00844336" w:rsidP="00844336">
            <w:pPr>
              <w:pStyle w:val="ListParagraph1"/>
              <w:widowControl w:val="0"/>
              <w:tabs>
                <w:tab w:val="left" w:pos="567"/>
              </w:tabs>
              <w:suppressAutoHyphens/>
              <w:ind w:left="0"/>
              <w:contextualSpacing w:val="0"/>
              <w:jc w:val="both"/>
              <w:rPr>
                <w:rFonts w:eastAsia="ArialMT"/>
                <w:iCs/>
                <w:sz w:val="20"/>
                <w:szCs w:val="20"/>
                <w:lang w:val="lv-LV"/>
              </w:rPr>
            </w:pPr>
            <w:r w:rsidRPr="008A39A1">
              <w:rPr>
                <w:rFonts w:eastAsia="ArialMT"/>
                <w:iCs/>
                <w:sz w:val="20"/>
                <w:szCs w:val="20"/>
                <w:lang w:val="lv-LV"/>
              </w:rPr>
              <w:t>Paredzētā kopējā apdrošināšanas prēmija 297 darbiniekiem apdrošināšanas periodā EUR 59257,44.</w:t>
            </w:r>
          </w:p>
        </w:tc>
      </w:tr>
      <w:tr w:rsidR="00822685" w:rsidRPr="008A39A1" w:rsidTr="005F0C9F">
        <w:trPr>
          <w:trHeight w:val="554"/>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822685" w:rsidRPr="008A39A1" w:rsidRDefault="00822685" w:rsidP="00B778B6">
            <w:pPr>
              <w:rPr>
                <w:b/>
                <w:sz w:val="20"/>
                <w:szCs w:val="20"/>
              </w:rPr>
            </w:pPr>
            <w:r w:rsidRPr="008A39A1">
              <w:rPr>
                <w:b/>
                <w:sz w:val="20"/>
                <w:szCs w:val="20"/>
              </w:rPr>
              <w:t>Līguma izpildes termiņš</w:t>
            </w:r>
          </w:p>
        </w:tc>
        <w:tc>
          <w:tcPr>
            <w:tcW w:w="6270" w:type="dxa"/>
            <w:tcBorders>
              <w:top w:val="single" w:sz="4" w:space="0" w:color="auto"/>
              <w:left w:val="single" w:sz="4" w:space="0" w:color="auto"/>
              <w:bottom w:val="single" w:sz="4" w:space="0" w:color="auto"/>
              <w:right w:val="single" w:sz="4" w:space="0" w:color="auto"/>
            </w:tcBorders>
            <w:vAlign w:val="center"/>
          </w:tcPr>
          <w:p w:rsidR="00822685" w:rsidRPr="008A39A1" w:rsidRDefault="00822685" w:rsidP="00B778B6">
            <w:pPr>
              <w:pStyle w:val="ListParagraph1"/>
              <w:widowControl w:val="0"/>
              <w:tabs>
                <w:tab w:val="left" w:pos="567"/>
              </w:tabs>
              <w:suppressAutoHyphens/>
              <w:ind w:left="0"/>
              <w:contextualSpacing w:val="0"/>
              <w:jc w:val="both"/>
              <w:rPr>
                <w:rFonts w:eastAsia="ArialMT"/>
                <w:iCs/>
                <w:sz w:val="20"/>
                <w:szCs w:val="20"/>
                <w:lang w:val="lv-LV"/>
              </w:rPr>
            </w:pPr>
            <w:r w:rsidRPr="008A39A1">
              <w:rPr>
                <w:rFonts w:eastAsia="ArialMT"/>
                <w:iCs/>
                <w:sz w:val="20"/>
                <w:szCs w:val="20"/>
                <w:lang w:val="lv-LV"/>
              </w:rPr>
              <w:t xml:space="preserve">Iepirkuma līguma darbības termiņš ir 1 (viens) gads </w:t>
            </w:r>
          </w:p>
          <w:p w:rsidR="00822685" w:rsidRPr="008A39A1" w:rsidRDefault="00822685" w:rsidP="00B778B6">
            <w:pPr>
              <w:pStyle w:val="ListParagraph1"/>
              <w:widowControl w:val="0"/>
              <w:tabs>
                <w:tab w:val="left" w:pos="567"/>
              </w:tabs>
              <w:suppressAutoHyphens/>
              <w:ind w:left="0"/>
              <w:contextualSpacing w:val="0"/>
              <w:jc w:val="both"/>
              <w:rPr>
                <w:rFonts w:eastAsia="ArialMT"/>
                <w:iCs/>
                <w:sz w:val="20"/>
                <w:szCs w:val="20"/>
                <w:lang w:val="lv-LV"/>
              </w:rPr>
            </w:pPr>
            <w:r w:rsidRPr="008A39A1">
              <w:rPr>
                <w:rFonts w:eastAsia="ArialMT"/>
                <w:iCs/>
                <w:sz w:val="20"/>
                <w:szCs w:val="20"/>
                <w:lang w:val="lv-LV"/>
              </w:rPr>
              <w:t>(no 27.05.2019.-26.05.2020.)</w:t>
            </w:r>
          </w:p>
        </w:tc>
      </w:tr>
      <w:tr w:rsidR="00313F1E" w:rsidRPr="008A39A1" w:rsidTr="005F0C9F">
        <w:trPr>
          <w:trHeight w:val="531"/>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A39A1" w:rsidRDefault="00E42D15" w:rsidP="00E42D15">
            <w:pPr>
              <w:rPr>
                <w:sz w:val="20"/>
                <w:szCs w:val="20"/>
              </w:rPr>
            </w:pPr>
            <w:r w:rsidRPr="008A39A1">
              <w:rPr>
                <w:b/>
                <w:sz w:val="20"/>
                <w:szCs w:val="20"/>
              </w:rPr>
              <w:t>Pasūtītājs uzaicina piedalīties sarunu procedūrā un iesniegt piedāvājumu -</w:t>
            </w:r>
            <w:r w:rsidRPr="008A39A1">
              <w:rPr>
                <w:sz w:val="20"/>
                <w:szCs w:val="20"/>
              </w:rPr>
              <w:t xml:space="preserve"> </w:t>
            </w:r>
            <w:r w:rsidR="00313F1E" w:rsidRPr="008A39A1">
              <w:rPr>
                <w:b/>
                <w:sz w:val="20"/>
                <w:szCs w:val="20"/>
              </w:rPr>
              <w:t>vieta, datums un laiks: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A39A1" w:rsidRDefault="00B778B6" w:rsidP="006E3ABF">
            <w:pPr>
              <w:rPr>
                <w:sz w:val="20"/>
                <w:szCs w:val="20"/>
              </w:rPr>
            </w:pPr>
            <w:r w:rsidRPr="008A39A1">
              <w:rPr>
                <w:sz w:val="20"/>
                <w:szCs w:val="20"/>
              </w:rPr>
              <w:t xml:space="preserve">Pretendenti piedāvājumus var iesniegt līdz </w:t>
            </w:r>
            <w:r w:rsidRPr="008A39A1">
              <w:rPr>
                <w:bCs/>
                <w:sz w:val="20"/>
                <w:szCs w:val="20"/>
              </w:rPr>
              <w:t>2019. </w:t>
            </w:r>
            <w:r w:rsidR="006E3ABF" w:rsidRPr="008A39A1">
              <w:rPr>
                <w:bCs/>
                <w:sz w:val="20"/>
                <w:szCs w:val="20"/>
              </w:rPr>
              <w:t>g</w:t>
            </w:r>
            <w:r w:rsidRPr="008A39A1">
              <w:rPr>
                <w:bCs/>
                <w:sz w:val="20"/>
                <w:szCs w:val="20"/>
              </w:rPr>
              <w:t xml:space="preserve">ada </w:t>
            </w:r>
            <w:r w:rsidR="00AD4B05" w:rsidRPr="008A39A1">
              <w:rPr>
                <w:bCs/>
                <w:sz w:val="20"/>
                <w:szCs w:val="20"/>
              </w:rPr>
              <w:t>9.</w:t>
            </w:r>
            <w:r w:rsidR="006E3ABF" w:rsidRPr="008A39A1">
              <w:rPr>
                <w:bCs/>
                <w:sz w:val="20"/>
                <w:szCs w:val="20"/>
              </w:rPr>
              <w:t>maijam</w:t>
            </w:r>
            <w:r w:rsidRPr="008A39A1">
              <w:rPr>
                <w:bCs/>
                <w:sz w:val="20"/>
                <w:szCs w:val="20"/>
              </w:rPr>
              <w:t xml:space="preserve"> plkst. 11:00</w:t>
            </w:r>
            <w:r w:rsidRPr="008A39A1">
              <w:rPr>
                <w:sz w:val="20"/>
                <w:szCs w:val="20"/>
              </w:rPr>
              <w:t>,</w:t>
            </w:r>
            <w:r w:rsidRPr="008A39A1">
              <w:rPr>
                <w:color w:val="999999"/>
                <w:sz w:val="20"/>
                <w:szCs w:val="20"/>
              </w:rPr>
              <w:t xml:space="preserve"> </w:t>
            </w:r>
            <w:r w:rsidRPr="008A39A1">
              <w:rPr>
                <w:sz w:val="20"/>
                <w:szCs w:val="20"/>
              </w:rPr>
              <w:t xml:space="preserve">Saulkrastu novada domē, Raiņa ielā 8, Saulkrastos, Saulkrastu novadā, LV-2160, 1. </w:t>
            </w:r>
            <w:r w:rsidR="001D3B8F" w:rsidRPr="008A39A1">
              <w:rPr>
                <w:sz w:val="20"/>
                <w:szCs w:val="20"/>
              </w:rPr>
              <w:t>S</w:t>
            </w:r>
            <w:r w:rsidRPr="008A39A1">
              <w:rPr>
                <w:sz w:val="20"/>
                <w:szCs w:val="20"/>
              </w:rPr>
              <w:t>tāvā, 10</w:t>
            </w:r>
            <w:r w:rsidR="00FF61E6" w:rsidRPr="008A39A1">
              <w:rPr>
                <w:sz w:val="20"/>
                <w:szCs w:val="20"/>
              </w:rPr>
              <w:t>6</w:t>
            </w:r>
            <w:r w:rsidRPr="008A39A1">
              <w:rPr>
                <w:sz w:val="20"/>
                <w:szCs w:val="20"/>
              </w:rPr>
              <w:t xml:space="preserve">. </w:t>
            </w:r>
            <w:r w:rsidR="001D3B8F" w:rsidRPr="008A39A1">
              <w:rPr>
                <w:sz w:val="20"/>
                <w:szCs w:val="20"/>
              </w:rPr>
              <w:t>K</w:t>
            </w:r>
            <w:r w:rsidRPr="008A39A1">
              <w:rPr>
                <w:sz w:val="20"/>
                <w:szCs w:val="20"/>
              </w:rPr>
              <w:t>abinetā.</w:t>
            </w:r>
          </w:p>
        </w:tc>
      </w:tr>
      <w:tr w:rsidR="001D3B8F" w:rsidRPr="008A39A1" w:rsidTr="005F0C9F">
        <w:trPr>
          <w:trHeight w:val="531"/>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1D3B8F" w:rsidRPr="008A39A1" w:rsidRDefault="001D3B8F" w:rsidP="00B778B6">
            <w:pPr>
              <w:jc w:val="both"/>
              <w:rPr>
                <w:b/>
                <w:sz w:val="20"/>
                <w:szCs w:val="20"/>
              </w:rPr>
            </w:pPr>
            <w:r w:rsidRPr="008A39A1">
              <w:rPr>
                <w:b/>
                <w:sz w:val="20"/>
                <w:szCs w:val="20"/>
              </w:rPr>
              <w:t>Iepirkumu komisijas lēmums</w:t>
            </w:r>
          </w:p>
        </w:tc>
        <w:tc>
          <w:tcPr>
            <w:tcW w:w="6270" w:type="dxa"/>
            <w:tcBorders>
              <w:top w:val="single" w:sz="4" w:space="0" w:color="auto"/>
              <w:left w:val="single" w:sz="4" w:space="0" w:color="auto"/>
              <w:bottom w:val="single" w:sz="4" w:space="0" w:color="auto"/>
              <w:right w:val="single" w:sz="4" w:space="0" w:color="auto"/>
            </w:tcBorders>
            <w:vAlign w:val="center"/>
          </w:tcPr>
          <w:p w:rsidR="001D3B8F" w:rsidRPr="008A39A1" w:rsidRDefault="005E7991" w:rsidP="005E7991">
            <w:pPr>
              <w:jc w:val="both"/>
              <w:rPr>
                <w:sz w:val="20"/>
                <w:szCs w:val="20"/>
              </w:rPr>
            </w:pPr>
            <w:r w:rsidRPr="008A39A1">
              <w:rPr>
                <w:sz w:val="20"/>
                <w:szCs w:val="20"/>
              </w:rPr>
              <w:t xml:space="preserve">Piešķirt līguma slēgšanas tiesības AAS „BTA Baltic Insurance Company”. Plānotais apdrošināmo personu skaits 297, ar kopējo piedāvāto līgumcenu </w:t>
            </w:r>
            <w:r w:rsidR="001D2506" w:rsidRPr="008A39A1">
              <w:rPr>
                <w:sz w:val="20"/>
                <w:szCs w:val="20"/>
              </w:rPr>
              <w:lastRenderedPageBreak/>
              <w:t xml:space="preserve">59257,44 </w:t>
            </w:r>
            <w:r w:rsidRPr="008A39A1">
              <w:rPr>
                <w:i/>
                <w:sz w:val="20"/>
                <w:szCs w:val="20"/>
              </w:rPr>
              <w:t>euro</w:t>
            </w:r>
            <w:r w:rsidRPr="008A39A1">
              <w:rPr>
                <w:sz w:val="20"/>
                <w:szCs w:val="20"/>
              </w:rPr>
              <w:t xml:space="preserve"> bez PVN.</w:t>
            </w:r>
            <w:r w:rsidR="009E0C43" w:rsidRPr="008A39A1">
              <w:rPr>
                <w:sz w:val="20"/>
                <w:szCs w:val="20"/>
              </w:rPr>
              <w:t xml:space="preserve"> Apdrošināmo personu skaits, pasūtot polises, tiks precizēts. Atbilstoši arī tiks precizēta kopējā līgumcena.</w:t>
            </w:r>
          </w:p>
        </w:tc>
      </w:tr>
      <w:tr w:rsidR="00F517FF" w:rsidRPr="008A39A1" w:rsidTr="005F0C9F">
        <w:trPr>
          <w:cantSplit/>
          <w:trHeight w:val="660"/>
        </w:trPr>
        <w:tc>
          <w:tcPr>
            <w:tcW w:w="3227" w:type="dxa"/>
            <w:tcBorders>
              <w:top w:val="single" w:sz="4" w:space="0" w:color="auto"/>
              <w:left w:val="single" w:sz="4" w:space="0" w:color="auto"/>
              <w:right w:val="single" w:sz="4" w:space="0" w:color="auto"/>
            </w:tcBorders>
            <w:shd w:val="clear" w:color="auto" w:fill="F2DBDB"/>
            <w:vAlign w:val="center"/>
          </w:tcPr>
          <w:p w:rsidR="00F517FF" w:rsidRPr="008A39A1" w:rsidRDefault="00F517FF" w:rsidP="00B778B6">
            <w:pPr>
              <w:rPr>
                <w:b/>
                <w:bCs/>
                <w:iCs/>
                <w:sz w:val="20"/>
                <w:szCs w:val="20"/>
                <w:highlight w:val="yellow"/>
              </w:rPr>
            </w:pPr>
            <w:r w:rsidRPr="008A39A1">
              <w:rPr>
                <w:b/>
                <w:bCs/>
                <w:iCs/>
                <w:sz w:val="20"/>
                <w:szCs w:val="20"/>
              </w:rPr>
              <w:lastRenderedPageBreak/>
              <w:t xml:space="preserve">Iepirkumu komisijas </w:t>
            </w:r>
            <w:smartTag w:uri="schemas-tilde-lv/tildestengine" w:element="veidnes">
              <w:smartTagPr>
                <w:attr w:name="baseform" w:val="lēmum|s"/>
                <w:attr w:name="id" w:val="-1"/>
                <w:attr w:name="text" w:val="lēmuma"/>
              </w:smartTagPr>
              <w:r w:rsidRPr="008A39A1">
                <w:rPr>
                  <w:b/>
                  <w:bCs/>
                  <w:iCs/>
                  <w:sz w:val="20"/>
                  <w:szCs w:val="20"/>
                </w:rPr>
                <w:t>lēmuma</w:t>
              </w:r>
            </w:smartTag>
            <w:r w:rsidRPr="008A39A1">
              <w:rPr>
                <w:b/>
                <w:bCs/>
                <w:iCs/>
                <w:sz w:val="20"/>
                <w:szCs w:val="20"/>
              </w:rPr>
              <w:t xml:space="preserve"> </w:t>
            </w:r>
            <w:r w:rsidRPr="008A39A1">
              <w:rPr>
                <w:b/>
                <w:sz w:val="20"/>
                <w:szCs w:val="20"/>
              </w:rPr>
              <w:t>pieņemšanas datums</w:t>
            </w:r>
          </w:p>
        </w:tc>
        <w:tc>
          <w:tcPr>
            <w:tcW w:w="6270" w:type="dxa"/>
            <w:tcBorders>
              <w:top w:val="single" w:sz="4" w:space="0" w:color="auto"/>
              <w:left w:val="single" w:sz="4" w:space="0" w:color="auto"/>
              <w:right w:val="single" w:sz="4" w:space="0" w:color="auto"/>
            </w:tcBorders>
            <w:shd w:val="clear" w:color="auto" w:fill="auto"/>
            <w:vAlign w:val="center"/>
          </w:tcPr>
          <w:p w:rsidR="00F517FF" w:rsidRPr="008A39A1" w:rsidRDefault="00CD327C" w:rsidP="00B778B6">
            <w:pPr>
              <w:pStyle w:val="Footer"/>
              <w:tabs>
                <w:tab w:val="left" w:pos="915"/>
              </w:tabs>
              <w:rPr>
                <w:rFonts w:ascii="Times New Roman" w:hAnsi="Times New Roman" w:cs="Times New Roman"/>
                <w:bCs/>
                <w:iCs/>
                <w:sz w:val="20"/>
                <w:szCs w:val="20"/>
                <w:highlight w:val="yellow"/>
              </w:rPr>
            </w:pPr>
            <w:r w:rsidRPr="007B3F37">
              <w:rPr>
                <w:rFonts w:ascii="Times New Roman" w:hAnsi="Times New Roman" w:cs="Times New Roman"/>
                <w:bCs/>
                <w:iCs/>
                <w:sz w:val="20"/>
                <w:szCs w:val="20"/>
              </w:rPr>
              <w:t>14</w:t>
            </w:r>
            <w:r w:rsidR="00B847F6" w:rsidRPr="007B3F37">
              <w:rPr>
                <w:rFonts w:ascii="Times New Roman" w:hAnsi="Times New Roman" w:cs="Times New Roman"/>
                <w:bCs/>
                <w:iCs/>
                <w:sz w:val="20"/>
                <w:szCs w:val="20"/>
              </w:rPr>
              <w:t>.05</w:t>
            </w:r>
            <w:r w:rsidR="00470753" w:rsidRPr="007B3F37">
              <w:rPr>
                <w:rFonts w:ascii="Times New Roman" w:hAnsi="Times New Roman" w:cs="Times New Roman"/>
                <w:bCs/>
                <w:iCs/>
                <w:sz w:val="20"/>
                <w:szCs w:val="20"/>
              </w:rPr>
              <w:t>.2019</w:t>
            </w:r>
            <w:r w:rsidR="00F517FF" w:rsidRPr="007B3F37">
              <w:rPr>
                <w:rFonts w:ascii="Times New Roman" w:hAnsi="Times New Roman" w:cs="Times New Roman"/>
                <w:bCs/>
                <w:iCs/>
                <w:sz w:val="20"/>
                <w:szCs w:val="20"/>
                <w:shd w:val="clear" w:color="auto" w:fill="FFFFFF"/>
              </w:rPr>
              <w:t>.</w:t>
            </w:r>
          </w:p>
        </w:tc>
      </w:tr>
    </w:tbl>
    <w:p w:rsidR="00D007EC" w:rsidRDefault="00D007EC" w:rsidP="00B778B6">
      <w:pPr>
        <w:rPr>
          <w:rStyle w:val="Emphasis"/>
          <w:sz w:val="20"/>
          <w:szCs w:val="20"/>
          <w:highlight w:val="yellow"/>
        </w:rPr>
      </w:pPr>
    </w:p>
    <w:p w:rsidR="00670F1E" w:rsidRDefault="00670F1E" w:rsidP="00B778B6">
      <w:pPr>
        <w:rPr>
          <w:rStyle w:val="Emphasis"/>
          <w:sz w:val="20"/>
          <w:szCs w:val="20"/>
          <w:highlight w:val="yellow"/>
        </w:rPr>
      </w:pPr>
    </w:p>
    <w:p w:rsidR="001E2A2E" w:rsidRDefault="001E2A2E" w:rsidP="00B778B6">
      <w:pPr>
        <w:rPr>
          <w:rStyle w:val="Emphasis"/>
          <w:sz w:val="20"/>
          <w:szCs w:val="20"/>
          <w:highlight w:val="yellow"/>
        </w:rPr>
      </w:pPr>
    </w:p>
    <w:p w:rsidR="001E2A2E" w:rsidRDefault="001E2A2E" w:rsidP="00B778B6">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1E2A2E" w:rsidRPr="001E2A2E" w:rsidTr="00931754">
        <w:trPr>
          <w:trHeight w:val="306"/>
        </w:trPr>
        <w:tc>
          <w:tcPr>
            <w:tcW w:w="7291" w:type="dxa"/>
            <w:shd w:val="clear" w:color="auto" w:fill="auto"/>
          </w:tcPr>
          <w:p w:rsidR="001E2A2E" w:rsidRPr="001E2A2E" w:rsidRDefault="001E2A2E" w:rsidP="00931754">
            <w:pPr>
              <w:ind w:right="-694"/>
              <w:jc w:val="both"/>
              <w:rPr>
                <w:sz w:val="20"/>
                <w:szCs w:val="20"/>
              </w:rPr>
            </w:pPr>
            <w:r w:rsidRPr="001E2A2E">
              <w:rPr>
                <w:sz w:val="20"/>
                <w:szCs w:val="20"/>
              </w:rPr>
              <w:t>Iepirkumu komisijas priekšsēdētājs</w:t>
            </w:r>
            <w:r w:rsidRPr="00947C9C">
              <w:rPr>
                <w:i/>
                <w:sz w:val="20"/>
                <w:szCs w:val="20"/>
              </w:rPr>
              <w:t>:                              (paraksts)</w:t>
            </w:r>
          </w:p>
        </w:tc>
        <w:tc>
          <w:tcPr>
            <w:tcW w:w="2113" w:type="dxa"/>
            <w:shd w:val="clear" w:color="auto" w:fill="auto"/>
          </w:tcPr>
          <w:p w:rsidR="001E2A2E" w:rsidRPr="001E2A2E" w:rsidRDefault="001E2A2E" w:rsidP="00931754">
            <w:pPr>
              <w:ind w:right="-694"/>
              <w:jc w:val="both"/>
              <w:rPr>
                <w:sz w:val="20"/>
                <w:szCs w:val="20"/>
              </w:rPr>
            </w:pPr>
            <w:r w:rsidRPr="001E2A2E">
              <w:rPr>
                <w:sz w:val="20"/>
                <w:szCs w:val="20"/>
              </w:rPr>
              <w:t xml:space="preserve">                      A.Horsts</w:t>
            </w:r>
          </w:p>
        </w:tc>
      </w:tr>
      <w:tr w:rsidR="001E2A2E" w:rsidRPr="00F41F29" w:rsidTr="00931754">
        <w:trPr>
          <w:trHeight w:val="513"/>
        </w:trPr>
        <w:tc>
          <w:tcPr>
            <w:tcW w:w="7291" w:type="dxa"/>
            <w:shd w:val="clear" w:color="auto" w:fill="auto"/>
          </w:tcPr>
          <w:p w:rsidR="001E2A2E" w:rsidRPr="00F41F29" w:rsidRDefault="001E2A2E" w:rsidP="00931754">
            <w:pPr>
              <w:tabs>
                <w:tab w:val="left" w:pos="720"/>
                <w:tab w:val="left" w:pos="1440"/>
                <w:tab w:val="left" w:pos="2160"/>
                <w:tab w:val="left" w:pos="2880"/>
                <w:tab w:val="left" w:pos="4365"/>
              </w:tabs>
              <w:ind w:right="-694"/>
              <w:jc w:val="both"/>
              <w:rPr>
                <w:i/>
                <w:sz w:val="20"/>
                <w:szCs w:val="20"/>
              </w:rPr>
            </w:pPr>
          </w:p>
        </w:tc>
        <w:tc>
          <w:tcPr>
            <w:tcW w:w="2113" w:type="dxa"/>
            <w:shd w:val="clear" w:color="auto" w:fill="auto"/>
          </w:tcPr>
          <w:p w:rsidR="001E2A2E" w:rsidRPr="00F41F29" w:rsidRDefault="001E2A2E" w:rsidP="00931754">
            <w:pPr>
              <w:ind w:right="-694"/>
              <w:jc w:val="both"/>
              <w:rPr>
                <w:i/>
                <w:sz w:val="20"/>
                <w:szCs w:val="20"/>
              </w:rPr>
            </w:pPr>
          </w:p>
        </w:tc>
      </w:tr>
    </w:tbl>
    <w:p w:rsidR="001E2A2E" w:rsidRDefault="001E2A2E" w:rsidP="001E2A2E">
      <w:pPr>
        <w:rPr>
          <w:rStyle w:val="Emphasis"/>
          <w:sz w:val="20"/>
          <w:szCs w:val="20"/>
        </w:rPr>
      </w:pPr>
    </w:p>
    <w:p w:rsidR="001E2A2E" w:rsidRPr="001300DB" w:rsidRDefault="001E2A2E" w:rsidP="001E2A2E">
      <w:pPr>
        <w:rPr>
          <w:rStyle w:val="Emphasis"/>
          <w:sz w:val="20"/>
          <w:szCs w:val="20"/>
        </w:rPr>
      </w:pPr>
      <w:r w:rsidRPr="001300DB">
        <w:rPr>
          <w:rStyle w:val="Emphasis"/>
          <w:sz w:val="20"/>
          <w:szCs w:val="20"/>
        </w:rPr>
        <w:t>Lēmumu sagatavoja</w:t>
      </w:r>
    </w:p>
    <w:p w:rsidR="001E2A2E" w:rsidRPr="001300DB" w:rsidRDefault="001E2A2E" w:rsidP="001E2A2E">
      <w:pPr>
        <w:rPr>
          <w:rStyle w:val="Emphasis"/>
          <w:sz w:val="20"/>
          <w:szCs w:val="20"/>
        </w:rPr>
      </w:pPr>
      <w:r>
        <w:rPr>
          <w:rStyle w:val="Emphasis"/>
          <w:sz w:val="20"/>
          <w:szCs w:val="20"/>
        </w:rPr>
        <w:t>K.Felkere</w:t>
      </w:r>
    </w:p>
    <w:p w:rsidR="001E2A2E" w:rsidRPr="00F517FF" w:rsidRDefault="001E2A2E" w:rsidP="001E2A2E">
      <w:pPr>
        <w:rPr>
          <w:rStyle w:val="Emphasis"/>
          <w:sz w:val="20"/>
          <w:szCs w:val="20"/>
        </w:rPr>
      </w:pPr>
      <w:r>
        <w:rPr>
          <w:rStyle w:val="Emphasis"/>
          <w:sz w:val="20"/>
          <w:szCs w:val="20"/>
        </w:rPr>
        <w:t>67142513</w:t>
      </w:r>
    </w:p>
    <w:p w:rsidR="00ED32E9" w:rsidRPr="00756D24" w:rsidRDefault="00ED32E9" w:rsidP="001E2A2E">
      <w:pPr>
        <w:rPr>
          <w:rStyle w:val="Emphasis"/>
          <w:sz w:val="20"/>
          <w:szCs w:val="20"/>
        </w:rPr>
      </w:pPr>
      <w:bookmarkStart w:id="0" w:name="_GoBack"/>
      <w:bookmarkEnd w:id="0"/>
    </w:p>
    <w:sectPr w:rsidR="00ED32E9" w:rsidRPr="00756D24"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6A" w:rsidRDefault="00A0066A" w:rsidP="00EE364D">
      <w:r>
        <w:separator/>
      </w:r>
    </w:p>
  </w:endnote>
  <w:endnote w:type="continuationSeparator" w:id="0">
    <w:p w:rsidR="00A0066A" w:rsidRDefault="00A0066A"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6A" w:rsidRDefault="00A0066A" w:rsidP="00EE364D">
      <w:r>
        <w:separator/>
      </w:r>
    </w:p>
  </w:footnote>
  <w:footnote w:type="continuationSeparator" w:id="0">
    <w:p w:rsidR="00A0066A" w:rsidRDefault="00A0066A"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473A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7664"/>
    <w:rsid w:val="00123099"/>
    <w:rsid w:val="0013416B"/>
    <w:rsid w:val="00153467"/>
    <w:rsid w:val="00155F63"/>
    <w:rsid w:val="00160E49"/>
    <w:rsid w:val="00161D14"/>
    <w:rsid w:val="00163FA0"/>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2506"/>
    <w:rsid w:val="001D3B8F"/>
    <w:rsid w:val="001D5F4B"/>
    <w:rsid w:val="001D748D"/>
    <w:rsid w:val="001E2998"/>
    <w:rsid w:val="001E2A2E"/>
    <w:rsid w:val="001E2F6C"/>
    <w:rsid w:val="001E478F"/>
    <w:rsid w:val="001F704A"/>
    <w:rsid w:val="00201944"/>
    <w:rsid w:val="00205658"/>
    <w:rsid w:val="00222AA2"/>
    <w:rsid w:val="002351AE"/>
    <w:rsid w:val="00236706"/>
    <w:rsid w:val="0023693D"/>
    <w:rsid w:val="00242D40"/>
    <w:rsid w:val="002531BE"/>
    <w:rsid w:val="00255FC8"/>
    <w:rsid w:val="00256DF0"/>
    <w:rsid w:val="002611C7"/>
    <w:rsid w:val="00276DF1"/>
    <w:rsid w:val="00283CF5"/>
    <w:rsid w:val="00287EA3"/>
    <w:rsid w:val="00290017"/>
    <w:rsid w:val="0029006F"/>
    <w:rsid w:val="00292511"/>
    <w:rsid w:val="00295776"/>
    <w:rsid w:val="002972FB"/>
    <w:rsid w:val="002A0931"/>
    <w:rsid w:val="002A55AB"/>
    <w:rsid w:val="002A6D2F"/>
    <w:rsid w:val="002B08ED"/>
    <w:rsid w:val="002B5A1F"/>
    <w:rsid w:val="002C058E"/>
    <w:rsid w:val="002C1239"/>
    <w:rsid w:val="002C626B"/>
    <w:rsid w:val="002D34E8"/>
    <w:rsid w:val="002D4405"/>
    <w:rsid w:val="002D5488"/>
    <w:rsid w:val="002D598A"/>
    <w:rsid w:val="002F226D"/>
    <w:rsid w:val="002F2C6C"/>
    <w:rsid w:val="002F5F0E"/>
    <w:rsid w:val="00301E89"/>
    <w:rsid w:val="00303F0E"/>
    <w:rsid w:val="00305CD2"/>
    <w:rsid w:val="00307B15"/>
    <w:rsid w:val="003109F2"/>
    <w:rsid w:val="00312A3C"/>
    <w:rsid w:val="00313F1E"/>
    <w:rsid w:val="00321211"/>
    <w:rsid w:val="0032544C"/>
    <w:rsid w:val="00327737"/>
    <w:rsid w:val="003332DD"/>
    <w:rsid w:val="00336DAE"/>
    <w:rsid w:val="0034159E"/>
    <w:rsid w:val="00342170"/>
    <w:rsid w:val="00352263"/>
    <w:rsid w:val="003563C6"/>
    <w:rsid w:val="00357566"/>
    <w:rsid w:val="0036757C"/>
    <w:rsid w:val="00383D08"/>
    <w:rsid w:val="00393034"/>
    <w:rsid w:val="0039726B"/>
    <w:rsid w:val="003A6A68"/>
    <w:rsid w:val="003B14BE"/>
    <w:rsid w:val="003B3BAF"/>
    <w:rsid w:val="003C3DA6"/>
    <w:rsid w:val="003D7520"/>
    <w:rsid w:val="003D7C72"/>
    <w:rsid w:val="003E7FD0"/>
    <w:rsid w:val="00403693"/>
    <w:rsid w:val="00411FB2"/>
    <w:rsid w:val="004145EB"/>
    <w:rsid w:val="004152BD"/>
    <w:rsid w:val="004255AC"/>
    <w:rsid w:val="00434A75"/>
    <w:rsid w:val="004513D0"/>
    <w:rsid w:val="00470648"/>
    <w:rsid w:val="00470753"/>
    <w:rsid w:val="00492C8B"/>
    <w:rsid w:val="004A1C96"/>
    <w:rsid w:val="004B0D0F"/>
    <w:rsid w:val="004B62E3"/>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E7991"/>
    <w:rsid w:val="005F0C9F"/>
    <w:rsid w:val="005F4783"/>
    <w:rsid w:val="006038E0"/>
    <w:rsid w:val="006055C5"/>
    <w:rsid w:val="0060580F"/>
    <w:rsid w:val="00607ED1"/>
    <w:rsid w:val="00610130"/>
    <w:rsid w:val="00613FF9"/>
    <w:rsid w:val="0061608E"/>
    <w:rsid w:val="00623888"/>
    <w:rsid w:val="00624E36"/>
    <w:rsid w:val="00625850"/>
    <w:rsid w:val="006477BC"/>
    <w:rsid w:val="006507E9"/>
    <w:rsid w:val="00670F1E"/>
    <w:rsid w:val="00676C35"/>
    <w:rsid w:val="00687630"/>
    <w:rsid w:val="00690754"/>
    <w:rsid w:val="00697100"/>
    <w:rsid w:val="006A3433"/>
    <w:rsid w:val="006A51DA"/>
    <w:rsid w:val="006A680C"/>
    <w:rsid w:val="006E3ABF"/>
    <w:rsid w:val="006F77FC"/>
    <w:rsid w:val="0070052A"/>
    <w:rsid w:val="00700670"/>
    <w:rsid w:val="00700902"/>
    <w:rsid w:val="00704011"/>
    <w:rsid w:val="007103E1"/>
    <w:rsid w:val="00712FF1"/>
    <w:rsid w:val="00716E0C"/>
    <w:rsid w:val="00717962"/>
    <w:rsid w:val="007232C8"/>
    <w:rsid w:val="0072333E"/>
    <w:rsid w:val="00725F11"/>
    <w:rsid w:val="00731AB5"/>
    <w:rsid w:val="0073322F"/>
    <w:rsid w:val="007338F2"/>
    <w:rsid w:val="00756D24"/>
    <w:rsid w:val="00756E7F"/>
    <w:rsid w:val="0076029C"/>
    <w:rsid w:val="00766538"/>
    <w:rsid w:val="00767BD0"/>
    <w:rsid w:val="00771A00"/>
    <w:rsid w:val="007824EE"/>
    <w:rsid w:val="00787BD1"/>
    <w:rsid w:val="0079623F"/>
    <w:rsid w:val="007975B2"/>
    <w:rsid w:val="007A4158"/>
    <w:rsid w:val="007A4F81"/>
    <w:rsid w:val="007B143B"/>
    <w:rsid w:val="007B3F37"/>
    <w:rsid w:val="007C08C0"/>
    <w:rsid w:val="007C1B3B"/>
    <w:rsid w:val="007D4CC4"/>
    <w:rsid w:val="007E1970"/>
    <w:rsid w:val="007F3AF9"/>
    <w:rsid w:val="007F6352"/>
    <w:rsid w:val="007F7A37"/>
    <w:rsid w:val="00814E92"/>
    <w:rsid w:val="00816DE5"/>
    <w:rsid w:val="00817559"/>
    <w:rsid w:val="00822685"/>
    <w:rsid w:val="00832146"/>
    <w:rsid w:val="00832311"/>
    <w:rsid w:val="00841773"/>
    <w:rsid w:val="0084358A"/>
    <w:rsid w:val="00844336"/>
    <w:rsid w:val="0084616B"/>
    <w:rsid w:val="00850781"/>
    <w:rsid w:val="00853A0A"/>
    <w:rsid w:val="008545C9"/>
    <w:rsid w:val="008714A9"/>
    <w:rsid w:val="008830BD"/>
    <w:rsid w:val="00883FDA"/>
    <w:rsid w:val="00887C78"/>
    <w:rsid w:val="00893612"/>
    <w:rsid w:val="00897B2E"/>
    <w:rsid w:val="008A1B2B"/>
    <w:rsid w:val="008A39A1"/>
    <w:rsid w:val="008A3BEE"/>
    <w:rsid w:val="008C4B6E"/>
    <w:rsid w:val="008D7863"/>
    <w:rsid w:val="008E3641"/>
    <w:rsid w:val="008E4C5E"/>
    <w:rsid w:val="008F6701"/>
    <w:rsid w:val="008F6932"/>
    <w:rsid w:val="008F71B5"/>
    <w:rsid w:val="00912325"/>
    <w:rsid w:val="0091237F"/>
    <w:rsid w:val="009166E7"/>
    <w:rsid w:val="00930106"/>
    <w:rsid w:val="00931D41"/>
    <w:rsid w:val="00947C9C"/>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0C43"/>
    <w:rsid w:val="009E3E26"/>
    <w:rsid w:val="009F3774"/>
    <w:rsid w:val="00A0066A"/>
    <w:rsid w:val="00A02555"/>
    <w:rsid w:val="00A2135D"/>
    <w:rsid w:val="00A276ED"/>
    <w:rsid w:val="00A40A50"/>
    <w:rsid w:val="00A443C9"/>
    <w:rsid w:val="00A45904"/>
    <w:rsid w:val="00A47AE7"/>
    <w:rsid w:val="00A51035"/>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204F1"/>
    <w:rsid w:val="00B23A63"/>
    <w:rsid w:val="00B30DBF"/>
    <w:rsid w:val="00B3423C"/>
    <w:rsid w:val="00B34BFF"/>
    <w:rsid w:val="00B36D39"/>
    <w:rsid w:val="00B40B22"/>
    <w:rsid w:val="00B44E54"/>
    <w:rsid w:val="00B67DA5"/>
    <w:rsid w:val="00B778B6"/>
    <w:rsid w:val="00B80577"/>
    <w:rsid w:val="00B80B47"/>
    <w:rsid w:val="00B82A9D"/>
    <w:rsid w:val="00B847F6"/>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1FF"/>
    <w:rsid w:val="00C2166E"/>
    <w:rsid w:val="00C27DD9"/>
    <w:rsid w:val="00C30CCC"/>
    <w:rsid w:val="00C34313"/>
    <w:rsid w:val="00C350E8"/>
    <w:rsid w:val="00C424F7"/>
    <w:rsid w:val="00C540AB"/>
    <w:rsid w:val="00C57AF2"/>
    <w:rsid w:val="00C63F53"/>
    <w:rsid w:val="00C7534F"/>
    <w:rsid w:val="00C75777"/>
    <w:rsid w:val="00C77AF4"/>
    <w:rsid w:val="00C96445"/>
    <w:rsid w:val="00C97C81"/>
    <w:rsid w:val="00CA0ECC"/>
    <w:rsid w:val="00CA14B8"/>
    <w:rsid w:val="00CA2D03"/>
    <w:rsid w:val="00CA4274"/>
    <w:rsid w:val="00CB13C8"/>
    <w:rsid w:val="00CB5E0A"/>
    <w:rsid w:val="00CC3A62"/>
    <w:rsid w:val="00CD327C"/>
    <w:rsid w:val="00CD44AF"/>
    <w:rsid w:val="00CE3476"/>
    <w:rsid w:val="00CE4FC3"/>
    <w:rsid w:val="00CF5683"/>
    <w:rsid w:val="00CF6EFF"/>
    <w:rsid w:val="00D007EC"/>
    <w:rsid w:val="00D11781"/>
    <w:rsid w:val="00D133AB"/>
    <w:rsid w:val="00D17054"/>
    <w:rsid w:val="00D31DF2"/>
    <w:rsid w:val="00D33C79"/>
    <w:rsid w:val="00D374C3"/>
    <w:rsid w:val="00D41EAD"/>
    <w:rsid w:val="00D516FE"/>
    <w:rsid w:val="00D523A3"/>
    <w:rsid w:val="00D62FFA"/>
    <w:rsid w:val="00D63353"/>
    <w:rsid w:val="00D67C02"/>
    <w:rsid w:val="00D706FC"/>
    <w:rsid w:val="00D8567C"/>
    <w:rsid w:val="00D8777E"/>
    <w:rsid w:val="00D92A37"/>
    <w:rsid w:val="00D93326"/>
    <w:rsid w:val="00DA33D5"/>
    <w:rsid w:val="00DB1C6E"/>
    <w:rsid w:val="00DB5F26"/>
    <w:rsid w:val="00DF4BB4"/>
    <w:rsid w:val="00E03C28"/>
    <w:rsid w:val="00E05E3E"/>
    <w:rsid w:val="00E064FC"/>
    <w:rsid w:val="00E07AEF"/>
    <w:rsid w:val="00E24203"/>
    <w:rsid w:val="00E24D97"/>
    <w:rsid w:val="00E2658A"/>
    <w:rsid w:val="00E31077"/>
    <w:rsid w:val="00E311DE"/>
    <w:rsid w:val="00E366CE"/>
    <w:rsid w:val="00E42D15"/>
    <w:rsid w:val="00E5660B"/>
    <w:rsid w:val="00E57EFA"/>
    <w:rsid w:val="00E621AD"/>
    <w:rsid w:val="00E63DC6"/>
    <w:rsid w:val="00E6712A"/>
    <w:rsid w:val="00E71E04"/>
    <w:rsid w:val="00E732D1"/>
    <w:rsid w:val="00E74697"/>
    <w:rsid w:val="00E75405"/>
    <w:rsid w:val="00E778D1"/>
    <w:rsid w:val="00E80B9D"/>
    <w:rsid w:val="00E85C75"/>
    <w:rsid w:val="00E85CA0"/>
    <w:rsid w:val="00E86A7F"/>
    <w:rsid w:val="00E951FA"/>
    <w:rsid w:val="00E974E1"/>
    <w:rsid w:val="00EA41FD"/>
    <w:rsid w:val="00EA4A8C"/>
    <w:rsid w:val="00EA4B73"/>
    <w:rsid w:val="00EA6201"/>
    <w:rsid w:val="00EB079D"/>
    <w:rsid w:val="00EC00C5"/>
    <w:rsid w:val="00ED32E9"/>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3449"/>
    <w:rsid w:val="00F973D0"/>
    <w:rsid w:val="00FA1CC3"/>
    <w:rsid w:val="00FA2FAE"/>
    <w:rsid w:val="00FA3249"/>
    <w:rsid w:val="00FB70C2"/>
    <w:rsid w:val="00FC1296"/>
    <w:rsid w:val="00FD147C"/>
    <w:rsid w:val="00FE105A"/>
    <w:rsid w:val="00FE763D"/>
    <w:rsid w:val="00FF6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vs.iub.gov.lv/show/528002" TargetMode="External"/><Relationship Id="rId4" Type="http://schemas.microsoft.com/office/2007/relationships/stylesWithEffects" Target="stylesWithEffects.xml"/><Relationship Id="rId9" Type="http://schemas.openxmlformats.org/officeDocument/2006/relationships/hyperlink" Target="mailto:pasts@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63D5-6220-4661-A3C1-9F361E8B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2223</Words>
  <Characters>1268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146</cp:revision>
  <cp:lastPrinted>2018-09-11T10:48:00Z</cp:lastPrinted>
  <dcterms:created xsi:type="dcterms:W3CDTF">2015-06-10T13:00:00Z</dcterms:created>
  <dcterms:modified xsi:type="dcterms:W3CDTF">2019-05-14T05:57:00Z</dcterms:modified>
</cp:coreProperties>
</file>